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05" w:rsidRPr="00825C49" w:rsidRDefault="00CC11B4" w:rsidP="00FE7B05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B20DC">
        <w:rPr>
          <w:rFonts w:ascii="Times New Roman" w:eastAsia="Courier New" w:hAnsi="Times New Roman"/>
          <w:b/>
          <w:bCs/>
          <w:kern w:val="1"/>
          <w:sz w:val="24"/>
          <w:szCs w:val="24"/>
          <w:lang w:eastAsia="ru-RU"/>
        </w:rPr>
        <w:tab/>
      </w:r>
      <w:r w:rsidR="00FE7B05" w:rsidRPr="00825C49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FE7B05" w:rsidRPr="00825C49" w:rsidRDefault="00FE7B05" w:rsidP="00FE7B05">
      <w:pPr>
        <w:jc w:val="center"/>
        <w:rPr>
          <w:rFonts w:ascii="Times New Roman" w:hAnsi="Times New Roman"/>
          <w:b/>
          <w:sz w:val="28"/>
          <w:szCs w:val="28"/>
        </w:rPr>
      </w:pPr>
      <w:r w:rsidRPr="00825C49">
        <w:rPr>
          <w:rFonts w:ascii="Times New Roman" w:hAnsi="Times New Roman"/>
          <w:b/>
          <w:sz w:val="28"/>
          <w:szCs w:val="28"/>
        </w:rPr>
        <w:t>НАЦІОНАЛЬНИЙ ЮРИДИЧНИЙ УНІВЕРСИТЕТ</w:t>
      </w:r>
    </w:p>
    <w:p w:rsidR="00FE7B05" w:rsidRPr="00825C49" w:rsidRDefault="00FE7B05" w:rsidP="00FE7B05">
      <w:pPr>
        <w:jc w:val="center"/>
        <w:rPr>
          <w:rFonts w:ascii="Times New Roman" w:hAnsi="Times New Roman"/>
          <w:b/>
          <w:sz w:val="28"/>
          <w:szCs w:val="28"/>
        </w:rPr>
      </w:pPr>
      <w:r w:rsidRPr="00825C49">
        <w:rPr>
          <w:rFonts w:ascii="Times New Roman" w:hAnsi="Times New Roman"/>
          <w:b/>
          <w:sz w:val="28"/>
          <w:szCs w:val="28"/>
        </w:rPr>
        <w:t>імені Ярослава Мудрого</w:t>
      </w:r>
    </w:p>
    <w:p w:rsidR="00FE7B05" w:rsidRPr="00825C49" w:rsidRDefault="00FE7B05" w:rsidP="00FE7B05">
      <w:pPr>
        <w:jc w:val="center"/>
        <w:rPr>
          <w:rFonts w:ascii="Times New Roman" w:hAnsi="Times New Roman"/>
          <w:b/>
          <w:sz w:val="28"/>
          <w:szCs w:val="28"/>
        </w:rPr>
      </w:pPr>
      <w:r w:rsidRPr="00825C49">
        <w:rPr>
          <w:rFonts w:ascii="Times New Roman" w:hAnsi="Times New Roman"/>
          <w:b/>
          <w:sz w:val="28"/>
          <w:szCs w:val="28"/>
        </w:rPr>
        <w:t>ПОЛТАВСЬКИЙ ЮРИДИЧНИЙ ІНСТИТУТ</w:t>
      </w: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36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Плани практичних занять</w:t>
      </w:r>
      <w:r w:rsidRPr="00825C49">
        <w:rPr>
          <w:rStyle w:val="FontStyle14"/>
          <w:sz w:val="28"/>
          <w:szCs w:val="28"/>
          <w:lang w:val="uk-UA" w:eastAsia="uk-UA"/>
        </w:rPr>
        <w:t xml:space="preserve"> із дисципліни</w:t>
      </w:r>
    </w:p>
    <w:p w:rsidR="00FE7B05" w:rsidRPr="00825C49" w:rsidRDefault="00FE7B05" w:rsidP="00FE7B0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5C49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Style w:val="FontStyle14"/>
          <w:sz w:val="28"/>
          <w:szCs w:val="28"/>
          <w:lang w:val="ru-RU" w:eastAsia="uk-UA"/>
        </w:rPr>
        <w:t>Альтернативний</w:t>
      </w:r>
      <w:proofErr w:type="spellEnd"/>
      <w:r>
        <w:rPr>
          <w:rStyle w:val="FontStyle14"/>
          <w:sz w:val="28"/>
          <w:szCs w:val="28"/>
          <w:lang w:val="ru-RU" w:eastAsia="uk-UA"/>
        </w:rPr>
        <w:t xml:space="preserve"> </w:t>
      </w:r>
      <w:proofErr w:type="spellStart"/>
      <w:r>
        <w:rPr>
          <w:rStyle w:val="FontStyle14"/>
          <w:sz w:val="28"/>
          <w:szCs w:val="28"/>
          <w:lang w:val="ru-RU" w:eastAsia="uk-UA"/>
        </w:rPr>
        <w:t>розгляд</w:t>
      </w:r>
      <w:proofErr w:type="spellEnd"/>
      <w:r>
        <w:rPr>
          <w:rStyle w:val="FontStyle14"/>
          <w:sz w:val="28"/>
          <w:szCs w:val="28"/>
          <w:lang w:val="ru-RU" w:eastAsia="uk-UA"/>
        </w:rPr>
        <w:t xml:space="preserve"> </w:t>
      </w:r>
      <w:proofErr w:type="spellStart"/>
      <w:r>
        <w:rPr>
          <w:rStyle w:val="FontStyle14"/>
          <w:sz w:val="28"/>
          <w:szCs w:val="28"/>
          <w:lang w:val="ru-RU" w:eastAsia="uk-UA"/>
        </w:rPr>
        <w:t>цивільних</w:t>
      </w:r>
      <w:proofErr w:type="spellEnd"/>
      <w:r>
        <w:rPr>
          <w:rStyle w:val="FontStyle14"/>
          <w:sz w:val="28"/>
          <w:szCs w:val="28"/>
          <w:lang w:val="ru-RU" w:eastAsia="uk-UA"/>
        </w:rPr>
        <w:t xml:space="preserve"> справ</w:t>
      </w:r>
      <w:r w:rsidRPr="00825C49">
        <w:rPr>
          <w:rFonts w:ascii="Times New Roman" w:hAnsi="Times New Roman"/>
          <w:sz w:val="28"/>
          <w:szCs w:val="28"/>
        </w:rPr>
        <w:t>”</w:t>
      </w: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pStyle w:val="Style2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FE7B05" w:rsidRPr="00825C49" w:rsidRDefault="00FE7B05" w:rsidP="00FE7B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7B05" w:rsidRPr="00B60173" w:rsidRDefault="00FE7B05" w:rsidP="00FE7B05">
      <w:pPr>
        <w:widowControl w:val="0"/>
        <w:spacing w:after="0" w:line="360" w:lineRule="auto"/>
        <w:ind w:right="-5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73">
        <w:rPr>
          <w:rFonts w:ascii="Times New Roman" w:eastAsia="Times New Roman" w:hAnsi="Times New Roman"/>
          <w:sz w:val="28"/>
          <w:szCs w:val="28"/>
          <w:lang w:eastAsia="ru-RU"/>
        </w:rPr>
        <w:t>Рівень вищої освіти – другий (магістерський) рівень</w:t>
      </w:r>
    </w:p>
    <w:p w:rsidR="00FE7B05" w:rsidRPr="00B60173" w:rsidRDefault="00FE7B05" w:rsidP="00FE7B05">
      <w:pPr>
        <w:widowControl w:val="0"/>
        <w:spacing w:after="0" w:line="360" w:lineRule="auto"/>
        <w:ind w:right="-5" w:firstLine="17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477169282"/>
      <w:bookmarkStart w:id="1" w:name="_Toc481225511"/>
      <w:bookmarkStart w:id="2" w:name="_Toc481226313"/>
      <w:r w:rsidRPr="00B60173">
        <w:rPr>
          <w:rFonts w:ascii="Times New Roman" w:eastAsia="Times New Roman" w:hAnsi="Times New Roman"/>
          <w:sz w:val="28"/>
          <w:szCs w:val="28"/>
          <w:lang w:eastAsia="ru-RU"/>
        </w:rPr>
        <w:t>Ступінь вищої освіти – магістр</w:t>
      </w:r>
      <w:bookmarkEnd w:id="0"/>
      <w:bookmarkEnd w:id="1"/>
      <w:bookmarkEnd w:id="2"/>
    </w:p>
    <w:p w:rsidR="00FE7B05" w:rsidRPr="00B60173" w:rsidRDefault="00FE7B05" w:rsidP="00FE7B05">
      <w:pPr>
        <w:widowControl w:val="0"/>
        <w:spacing w:after="0" w:line="360" w:lineRule="auto"/>
        <w:ind w:right="-5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73">
        <w:rPr>
          <w:rFonts w:ascii="Times New Roman" w:eastAsia="Times New Roman" w:hAnsi="Times New Roman"/>
          <w:sz w:val="28"/>
          <w:szCs w:val="28"/>
          <w:lang w:eastAsia="ru-RU"/>
        </w:rPr>
        <w:t>Галузь знань –   08 «Право»</w:t>
      </w:r>
    </w:p>
    <w:p w:rsidR="00FE7B05" w:rsidRPr="00B60173" w:rsidRDefault="00FE7B05" w:rsidP="00FE7B05">
      <w:pPr>
        <w:widowControl w:val="0"/>
        <w:spacing w:after="0" w:line="360" w:lineRule="auto"/>
        <w:ind w:right="-5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73">
        <w:rPr>
          <w:rFonts w:ascii="Times New Roman" w:eastAsia="Times New Roman" w:hAnsi="Times New Roman"/>
          <w:sz w:val="28"/>
          <w:szCs w:val="28"/>
          <w:lang w:eastAsia="ru-RU"/>
        </w:rPr>
        <w:t>Спеціальність – 081 «Право»</w:t>
      </w:r>
    </w:p>
    <w:p w:rsidR="00FE7B05" w:rsidRPr="00825C49" w:rsidRDefault="00FE7B05" w:rsidP="00FE7B05">
      <w:pPr>
        <w:jc w:val="both"/>
        <w:rPr>
          <w:rFonts w:ascii="Times New Roman" w:hAnsi="Times New Roman"/>
          <w:sz w:val="28"/>
          <w:szCs w:val="28"/>
        </w:rPr>
      </w:pPr>
    </w:p>
    <w:p w:rsidR="00FE7B05" w:rsidRPr="00825C49" w:rsidRDefault="00FE7B05" w:rsidP="00FE7B05">
      <w:pPr>
        <w:jc w:val="both"/>
        <w:rPr>
          <w:rFonts w:ascii="Times New Roman" w:hAnsi="Times New Roman"/>
          <w:sz w:val="28"/>
          <w:szCs w:val="28"/>
        </w:rPr>
      </w:pPr>
    </w:p>
    <w:p w:rsidR="00FE7B05" w:rsidRPr="00825C49" w:rsidRDefault="00FE7B05" w:rsidP="00FE7B05">
      <w:pPr>
        <w:ind w:left="3420"/>
        <w:jc w:val="both"/>
        <w:rPr>
          <w:rFonts w:ascii="Times New Roman" w:hAnsi="Times New Roman"/>
          <w:sz w:val="28"/>
          <w:szCs w:val="28"/>
        </w:rPr>
      </w:pPr>
      <w:r w:rsidRPr="00825C49">
        <w:rPr>
          <w:rFonts w:ascii="Times New Roman" w:hAnsi="Times New Roman"/>
          <w:sz w:val="28"/>
          <w:szCs w:val="28"/>
        </w:rPr>
        <w:t xml:space="preserve">Затверджено на засіданні кафедри цивільного, господарського </w:t>
      </w:r>
      <w:r>
        <w:rPr>
          <w:rFonts w:ascii="Times New Roman" w:hAnsi="Times New Roman"/>
          <w:sz w:val="28"/>
          <w:szCs w:val="28"/>
        </w:rPr>
        <w:t>і фінансового</w:t>
      </w:r>
      <w:r w:rsidRPr="00825C49">
        <w:rPr>
          <w:rFonts w:ascii="Times New Roman" w:hAnsi="Times New Roman"/>
          <w:sz w:val="28"/>
          <w:szCs w:val="28"/>
        </w:rPr>
        <w:t xml:space="preserve"> права Полтавського юридичного інституту Національного юридичного університету імені Ярослава Мудрого, </w:t>
      </w:r>
    </w:p>
    <w:p w:rsidR="00FE7B05" w:rsidRPr="00825C49" w:rsidRDefault="00FE7B05" w:rsidP="00FE7B05">
      <w:pPr>
        <w:ind w:left="3420"/>
        <w:jc w:val="both"/>
        <w:rPr>
          <w:rFonts w:ascii="Times New Roman" w:hAnsi="Times New Roman"/>
          <w:sz w:val="28"/>
          <w:szCs w:val="28"/>
        </w:rPr>
      </w:pPr>
      <w:r w:rsidRPr="00825C49">
        <w:rPr>
          <w:rFonts w:ascii="Times New Roman" w:hAnsi="Times New Roman"/>
          <w:sz w:val="28"/>
          <w:szCs w:val="28"/>
        </w:rPr>
        <w:t xml:space="preserve">протокол №  </w:t>
      </w:r>
      <w:r w:rsidR="00653A1B">
        <w:rPr>
          <w:rFonts w:ascii="Times New Roman" w:hAnsi="Times New Roman"/>
          <w:sz w:val="28"/>
          <w:szCs w:val="28"/>
          <w:lang w:val="ru-RU"/>
        </w:rPr>
        <w:t>1</w:t>
      </w:r>
      <w:r w:rsidRPr="00825C49">
        <w:rPr>
          <w:rFonts w:ascii="Times New Roman" w:hAnsi="Times New Roman"/>
          <w:sz w:val="28"/>
          <w:szCs w:val="28"/>
        </w:rPr>
        <w:t xml:space="preserve"> від </w:t>
      </w:r>
      <w:r w:rsidRPr="006A6656">
        <w:rPr>
          <w:rFonts w:ascii="Times New Roman" w:hAnsi="Times New Roman"/>
          <w:sz w:val="28"/>
          <w:szCs w:val="28"/>
        </w:rPr>
        <w:t xml:space="preserve">“ </w:t>
      </w:r>
      <w:r w:rsidR="006A6656" w:rsidRPr="006A6656">
        <w:rPr>
          <w:rFonts w:ascii="Times New Roman" w:hAnsi="Times New Roman"/>
          <w:sz w:val="28"/>
          <w:szCs w:val="28"/>
        </w:rPr>
        <w:t>11</w:t>
      </w:r>
      <w:r w:rsidRPr="006A6656">
        <w:rPr>
          <w:rFonts w:ascii="Times New Roman" w:hAnsi="Times New Roman"/>
          <w:sz w:val="28"/>
          <w:szCs w:val="28"/>
        </w:rPr>
        <w:t xml:space="preserve"> ” </w:t>
      </w:r>
      <w:r w:rsidR="006A6656">
        <w:rPr>
          <w:rFonts w:ascii="Times New Roman" w:hAnsi="Times New Roman"/>
          <w:sz w:val="28"/>
          <w:szCs w:val="28"/>
        </w:rPr>
        <w:t>вересня</w:t>
      </w:r>
      <w:r w:rsidRPr="00825C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825C49">
        <w:rPr>
          <w:rFonts w:ascii="Times New Roman" w:hAnsi="Times New Roman"/>
          <w:sz w:val="28"/>
          <w:szCs w:val="28"/>
        </w:rPr>
        <w:t xml:space="preserve"> року</w:t>
      </w:r>
    </w:p>
    <w:p w:rsidR="00FE7B05" w:rsidRPr="00825C49" w:rsidRDefault="00FE7B05" w:rsidP="00FE7B05">
      <w:pPr>
        <w:ind w:left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 ____________</w:t>
      </w:r>
      <w:proofErr w:type="spellStart"/>
      <w:r>
        <w:rPr>
          <w:rFonts w:ascii="Times New Roman" w:hAnsi="Times New Roman"/>
          <w:sz w:val="28"/>
          <w:szCs w:val="28"/>
        </w:rPr>
        <w:t>І.Є.Криницький</w:t>
      </w:r>
      <w:proofErr w:type="spellEnd"/>
    </w:p>
    <w:p w:rsidR="00FE7B05" w:rsidRDefault="00FE7B05" w:rsidP="00FE7B05">
      <w:pPr>
        <w:jc w:val="both"/>
        <w:rPr>
          <w:rFonts w:ascii="Times New Roman" w:hAnsi="Times New Roman"/>
          <w:sz w:val="28"/>
          <w:szCs w:val="28"/>
        </w:rPr>
      </w:pPr>
    </w:p>
    <w:p w:rsidR="00FE7B05" w:rsidRPr="00825C49" w:rsidRDefault="00FE7B05" w:rsidP="00FE7B05">
      <w:pPr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FE7B05" w:rsidRDefault="00FE7B05" w:rsidP="00FE7B05">
      <w:pPr>
        <w:tabs>
          <w:tab w:val="center" w:pos="4677"/>
          <w:tab w:val="left" w:pos="61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7B05" w:rsidRDefault="00FE7B05" w:rsidP="00FE7B05">
      <w:pPr>
        <w:tabs>
          <w:tab w:val="center" w:pos="4677"/>
          <w:tab w:val="left" w:pos="61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Полтава 2019</w:t>
      </w:r>
    </w:p>
    <w:p w:rsidR="00FE7B05" w:rsidRDefault="00FE7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7B05" w:rsidRPr="00B308C1" w:rsidRDefault="00FE7B05" w:rsidP="009E3D8F">
      <w:pPr>
        <w:tabs>
          <w:tab w:val="center" w:pos="4677"/>
          <w:tab w:val="left" w:pos="6123"/>
        </w:tabs>
        <w:rPr>
          <w:rFonts w:ascii="Times New Roman" w:hAnsi="Times New Roman"/>
          <w:b/>
          <w:sz w:val="24"/>
          <w:szCs w:val="24"/>
        </w:rPr>
      </w:pPr>
      <w:r w:rsidRPr="00825C49">
        <w:rPr>
          <w:rFonts w:ascii="Times New Roman" w:hAnsi="Times New Roman"/>
          <w:sz w:val="28"/>
          <w:szCs w:val="28"/>
        </w:rPr>
        <w:lastRenderedPageBreak/>
        <w:tab/>
      </w:r>
      <w:r w:rsidRPr="00B308C1">
        <w:rPr>
          <w:rFonts w:ascii="Times New Roman" w:hAnsi="Times New Roman"/>
          <w:b/>
          <w:sz w:val="24"/>
          <w:szCs w:val="24"/>
        </w:rPr>
        <w:t>ТЕМАТИКА ТА ПЛАНИ ПРАКТИЧНИХ ЗАНЯТЬ</w:t>
      </w:r>
    </w:p>
    <w:p w:rsidR="00FE7B05" w:rsidRPr="00B308C1" w:rsidRDefault="00FE7B05" w:rsidP="00FE7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1B4" w:rsidRPr="00EB20DC" w:rsidRDefault="00CC11B4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Правова характеристика альтернативних способів розгляду цивільних справ.</w:t>
      </w:r>
    </w:p>
    <w:p w:rsidR="009E3D8F" w:rsidRDefault="009E3D8F" w:rsidP="000F0EFE">
      <w:pPr>
        <w:tabs>
          <w:tab w:val="left" w:pos="7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EFE" w:rsidRDefault="00FE7B05" w:rsidP="000F0EFE">
      <w:pPr>
        <w:tabs>
          <w:tab w:val="left" w:pos="7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(питання для самостійного вивчення)</w:t>
      </w:r>
    </w:p>
    <w:p w:rsidR="000F0EFE" w:rsidRPr="00EB20DC" w:rsidRDefault="000F0EFE" w:rsidP="000F0EFE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Сутність та співвідношення понять </w:t>
      </w:r>
      <w:r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proofErr w:type="spellStart"/>
      <w:r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>конфлікт</w:t>
      </w:r>
      <w:proofErr w:type="spellEnd"/>
      <w:r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</w:t>
      </w: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«юридичний конфлікт», «правовий конфлікт» та «правовий спір». Ознаки правового спору. </w:t>
      </w:r>
    </w:p>
    <w:p w:rsidR="000F0EFE" w:rsidRPr="00EB20DC" w:rsidRDefault="000F0EFE" w:rsidP="000F0EFE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Поняття та ознаки АВС. Державне судочинство і АВС. </w:t>
      </w:r>
    </w:p>
    <w:p w:rsidR="000F0EFE" w:rsidRPr="00EB20DC" w:rsidRDefault="000F0EFE" w:rsidP="000F0EFE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Принципи АВС. </w:t>
      </w:r>
    </w:p>
    <w:p w:rsidR="000F0EFE" w:rsidRDefault="000F0EFE" w:rsidP="000F0EFE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>Класифікація видів АВС.</w:t>
      </w:r>
    </w:p>
    <w:p w:rsidR="009E3D8F" w:rsidRDefault="009E3D8F" w:rsidP="009E3D8F">
      <w:pPr>
        <w:pStyle w:val="a5"/>
        <w:numPr>
          <w:ilvl w:val="0"/>
          <w:numId w:val="2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Виникнення та розвиток сучасних моделей АВС. Роль та значення національної конференції імені Р. </w:t>
      </w:r>
      <w:proofErr w:type="spellStart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Паунда</w:t>
      </w:r>
      <w:proofErr w:type="spellEnd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, Акту про реформу цивільного судочинства (</w:t>
      </w:r>
      <w:proofErr w:type="spellStart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Civil</w:t>
      </w:r>
      <w:proofErr w:type="spellEnd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Justice</w:t>
      </w:r>
      <w:proofErr w:type="spellEnd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Reform</w:t>
      </w:r>
      <w:proofErr w:type="spellEnd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Act</w:t>
      </w:r>
      <w:proofErr w:type="spellEnd"/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955AA0">
        <w:rPr>
          <w:sz w:val="24"/>
          <w:szCs w:val="24"/>
        </w:rPr>
        <w:t xml:space="preserve"> </w:t>
      </w:r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 про альтернативне вирішення спорів у становленні та розвитку АВС. </w:t>
      </w:r>
    </w:p>
    <w:p w:rsidR="009E3D8F" w:rsidRDefault="009E3D8F" w:rsidP="009E3D8F">
      <w:pPr>
        <w:pStyle w:val="a5"/>
        <w:numPr>
          <w:ilvl w:val="0"/>
          <w:numId w:val="2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Становлення та розвиток англійської моделі АВС. </w:t>
      </w:r>
    </w:p>
    <w:p w:rsidR="009E3D8F" w:rsidRDefault="009E3D8F" w:rsidP="009E3D8F">
      <w:pPr>
        <w:pStyle w:val="a5"/>
        <w:numPr>
          <w:ilvl w:val="0"/>
          <w:numId w:val="2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Ради Європи у впровадженні АВС у країнах Європи. </w:t>
      </w:r>
    </w:p>
    <w:p w:rsidR="009E3D8F" w:rsidRPr="00955AA0" w:rsidRDefault="009E3D8F" w:rsidP="009E3D8F">
      <w:pPr>
        <w:pStyle w:val="a5"/>
        <w:numPr>
          <w:ilvl w:val="0"/>
          <w:numId w:val="2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sz w:val="24"/>
          <w:szCs w:val="24"/>
          <w:lang w:eastAsia="ru-RU"/>
        </w:rPr>
        <w:t>Директиви ЄС у сфері АВС. Особливості моделей АВС у інших країнах (Сінгапур, Швейцарія, Гонконг, Німеччина, Індія, Китай, Казахстан).</w:t>
      </w:r>
    </w:p>
    <w:p w:rsidR="00FE7B05" w:rsidRDefault="00FE7B05" w:rsidP="00FE7B05">
      <w:pPr>
        <w:pStyle w:val="a5"/>
        <w:ind w:left="1080"/>
        <w:rPr>
          <w:rFonts w:ascii="Times New Roman" w:hAnsi="Times New Roman"/>
          <w:i/>
          <w:sz w:val="24"/>
          <w:szCs w:val="24"/>
        </w:rPr>
      </w:pPr>
    </w:p>
    <w:p w:rsidR="00FE7B05" w:rsidRDefault="00FE7B05" w:rsidP="009E3D8F">
      <w:pPr>
        <w:pStyle w:val="a5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t>Список нормативно-правових актів та літератури</w:t>
      </w:r>
      <w:r w:rsidR="002369F8">
        <w:rPr>
          <w:rFonts w:ascii="Times New Roman" w:hAnsi="Times New Roman"/>
          <w:i/>
          <w:sz w:val="24"/>
          <w:szCs w:val="24"/>
        </w:rPr>
        <w:t>:</w:t>
      </w:r>
    </w:p>
    <w:p w:rsidR="009E3D8F" w:rsidRPr="00E15718" w:rsidRDefault="009E3D8F" w:rsidP="009E3D8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1. </w:t>
      </w:r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E1571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9E3D8F" w:rsidRPr="009002DC" w:rsidRDefault="009E3D8F" w:rsidP="009E3D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Малигіна</w:t>
      </w:r>
      <w:proofErr w:type="spellEnd"/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К.</w:t>
      </w:r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Позасудове врегулювання спорів : огляд існуючих альтернатив / К. </w:t>
      </w:r>
      <w:proofErr w:type="spellStart"/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Малигіна</w:t>
      </w:r>
      <w:proofErr w:type="spellEnd"/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2013. – 14 трав. (№ 19/20). – С. 40–41.</w:t>
      </w:r>
    </w:p>
    <w:p w:rsidR="009E3D8F" w:rsidRPr="009002DC" w:rsidRDefault="009E3D8F" w:rsidP="009E3D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Спектор</w:t>
      </w:r>
      <w:proofErr w:type="spellEnd"/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О. М.</w:t>
      </w:r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Історичні корені виникнення та етапи становлення системи альтернативного вирішення спорів / О. М. </w:t>
      </w:r>
      <w:proofErr w:type="spellStart"/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Спектор</w:t>
      </w:r>
      <w:proofErr w:type="spellEnd"/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Право і суспільство. – 2010. – № 4. – С. 102–107.</w:t>
      </w:r>
    </w:p>
    <w:p w:rsidR="009E3D8F" w:rsidRPr="009002DC" w:rsidRDefault="009E3D8F" w:rsidP="009E3D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Ткачук О.С. Судові та альтернативні способи вирішення приватних юридичних конфліктів: міжнародний досвід і українські перспективи / О.С. Ткачук // Науковий вісник Міжнародного гуманітарного університету. – 2015. - № 18. – С. 22-25.</w:t>
      </w:r>
    </w:p>
    <w:p w:rsidR="009E3D8F" w:rsidRPr="00E15718" w:rsidRDefault="009E3D8F" w:rsidP="009E3D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Штефан О</w:t>
      </w:r>
      <w:r w:rsidRPr="009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Альтернативна</w:t>
      </w:r>
      <w:r w:rsidRPr="00E15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судова юрисдикція з розгляду цивільних справ у країнах ЄС / О. Штефан // Теорія і практика інтелектуальної власності. – 2013. – № 3. – С. 55–62.</w:t>
      </w:r>
    </w:p>
    <w:p w:rsidR="000F0EFE" w:rsidRPr="00EB20DC" w:rsidRDefault="000F0EFE" w:rsidP="000F0EFE">
      <w:pPr>
        <w:tabs>
          <w:tab w:val="left" w:pos="7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FFE" w:rsidRPr="00EB20DC" w:rsidRDefault="000F0E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proofErr w:type="spellStart"/>
      <w:r w:rsidR="00CA4FFE" w:rsidRPr="00EB20D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Завдання</w:t>
      </w:r>
      <w:proofErr w:type="spellEnd"/>
      <w:r w:rsidR="00CA4FFE" w:rsidRPr="00EB20D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1. 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>Проведіть</w:t>
      </w:r>
      <w:proofErr w:type="spellEnd"/>
      <w:r w:rsidR="00CA4FFE" w:rsidRPr="00EB20D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співвідношення понять </w:t>
      </w:r>
      <w:r w:rsidR="00CA4FFE"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>конфлікт</w:t>
      </w:r>
      <w:proofErr w:type="spellEnd"/>
      <w:r w:rsidR="00CA4FFE" w:rsidRPr="00EB20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</w:t>
      </w:r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«юридичний конфлікт», «правовий конфлікт» та «правовий спір». Наведіть приклади правового конфлікту і правового спору.</w:t>
      </w:r>
    </w:p>
    <w:p w:rsidR="00CA4FFE" w:rsidRPr="00EB20DC" w:rsidRDefault="00CA4F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FE" w:rsidRPr="00EB20DC" w:rsidRDefault="000F0E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FFE" w:rsidRPr="00552AA6">
        <w:rPr>
          <w:rFonts w:ascii="Times New Roman" w:eastAsia="Times New Roman" w:hAnsi="Times New Roman"/>
          <w:b/>
          <w:sz w:val="24"/>
          <w:szCs w:val="24"/>
          <w:lang w:eastAsia="ru-RU"/>
        </w:rPr>
        <w:t>Завдання 2.</w:t>
      </w:r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Покажіть переваги та недоліки вирішенні цивільних спорів у судовому порядку та за допомогою АВС.</w:t>
      </w:r>
    </w:p>
    <w:p w:rsidR="00CA4FFE" w:rsidRPr="00EB20DC" w:rsidRDefault="00CA4F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FE" w:rsidRPr="00552AA6" w:rsidRDefault="000F0E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FFE" w:rsidRPr="00552AA6">
        <w:rPr>
          <w:rFonts w:ascii="Times New Roman" w:eastAsia="Times New Roman" w:hAnsi="Times New Roman"/>
          <w:b/>
          <w:sz w:val="24"/>
          <w:szCs w:val="24"/>
          <w:lang w:eastAsia="ru-RU"/>
        </w:rPr>
        <w:t>Завдання 3.</w:t>
      </w:r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Співвіднесіть</w:t>
      </w:r>
      <w:proofErr w:type="spellEnd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такі види АВС як «переговори», «медіація», «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консиліація</w:t>
      </w:r>
      <w:proofErr w:type="spellEnd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»; «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колаборативні</w:t>
      </w:r>
      <w:proofErr w:type="spellEnd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процедури» та «</w:t>
      </w:r>
      <w:proofErr w:type="spellStart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>партисипативні</w:t>
      </w:r>
      <w:proofErr w:type="spellEnd"/>
      <w:r w:rsidR="00CA4FFE" w:rsidRPr="00EB20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процедури»; «</w:t>
      </w:r>
      <w:r w:rsidR="00CA4FFE" w:rsidRPr="00552AA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A4FFE" w:rsidRPr="00552AA6">
        <w:rPr>
          <w:rFonts w:ascii="Times New Roman" w:hAnsi="Times New Roman" w:cs="Calibri"/>
          <w:sz w:val="24"/>
          <w:szCs w:val="24"/>
        </w:rPr>
        <w:t>езалежна</w:t>
      </w:r>
      <w:r w:rsidR="00CA4FFE" w:rsidRPr="00552AA6">
        <w:rPr>
          <w:rFonts w:ascii="Times New Roman" w:hAnsi="Times New Roman"/>
          <w:sz w:val="24"/>
          <w:szCs w:val="24"/>
        </w:rPr>
        <w:t xml:space="preserve"> </w:t>
      </w:r>
      <w:r w:rsidR="00CA4FFE" w:rsidRPr="00552AA6">
        <w:rPr>
          <w:rFonts w:ascii="Times New Roman" w:hAnsi="Times New Roman" w:cs="Calibri"/>
          <w:sz w:val="24"/>
          <w:szCs w:val="24"/>
        </w:rPr>
        <w:t>оцінка</w:t>
      </w:r>
      <w:r w:rsidR="00CA4FFE" w:rsidRPr="00552AA6">
        <w:rPr>
          <w:rFonts w:ascii="Times New Roman" w:hAnsi="Times New Roman"/>
          <w:sz w:val="24"/>
          <w:szCs w:val="24"/>
        </w:rPr>
        <w:t xml:space="preserve"> </w:t>
      </w:r>
      <w:r w:rsidR="00CA4FFE" w:rsidRPr="00552AA6">
        <w:rPr>
          <w:rFonts w:ascii="Times New Roman" w:hAnsi="Times New Roman" w:cs="Calibri"/>
          <w:sz w:val="24"/>
          <w:szCs w:val="24"/>
        </w:rPr>
        <w:t>фактів» та «попередн</w:t>
      </w:r>
      <w:r w:rsidR="00CA4FFE" w:rsidRPr="00552AA6">
        <w:rPr>
          <w:rFonts w:ascii="Times New Roman" w:hAnsi="Times New Roman"/>
          <w:sz w:val="24"/>
          <w:szCs w:val="24"/>
        </w:rPr>
        <w:t>я нейтральна оцінка».</w:t>
      </w:r>
    </w:p>
    <w:p w:rsidR="00CA4FFE" w:rsidRPr="00EB20DC" w:rsidRDefault="00CA4F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4FFE" w:rsidRPr="00552AA6" w:rsidRDefault="000F0E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B20DC">
        <w:rPr>
          <w:rFonts w:ascii="Times New Roman" w:hAnsi="Times New Roman"/>
          <w:b/>
          <w:i/>
          <w:sz w:val="24"/>
          <w:szCs w:val="24"/>
        </w:rPr>
        <w:tab/>
      </w:r>
      <w:r w:rsidR="00CA4FFE" w:rsidRPr="00552AA6">
        <w:rPr>
          <w:rFonts w:ascii="Times New Roman" w:hAnsi="Times New Roman"/>
          <w:b/>
          <w:sz w:val="24"/>
          <w:szCs w:val="24"/>
        </w:rPr>
        <w:t>Завдання 4.</w:t>
      </w:r>
      <w:r w:rsidR="00CA4FFE" w:rsidRPr="00552AA6">
        <w:rPr>
          <w:rFonts w:ascii="Times New Roman" w:hAnsi="Times New Roman"/>
          <w:sz w:val="24"/>
          <w:szCs w:val="24"/>
        </w:rPr>
        <w:t xml:space="preserve"> У чому полягає спільне та відмінне у таких способах АВС як т</w:t>
      </w:r>
      <w:r w:rsidR="00CA4FFE" w:rsidRPr="00552AA6">
        <w:rPr>
          <w:rFonts w:ascii="Times New Roman" w:hAnsi="Times New Roman" w:cs="Calibri"/>
          <w:sz w:val="24"/>
          <w:szCs w:val="24"/>
        </w:rPr>
        <w:t>ретейське</w:t>
      </w:r>
      <w:r w:rsidR="00CA4FFE" w:rsidRPr="00552AA6">
        <w:rPr>
          <w:rFonts w:ascii="Times New Roman" w:hAnsi="Times New Roman"/>
          <w:sz w:val="24"/>
          <w:szCs w:val="24"/>
        </w:rPr>
        <w:t xml:space="preserve"> </w:t>
      </w:r>
      <w:r w:rsidR="00CA4FFE" w:rsidRPr="00552AA6">
        <w:rPr>
          <w:rFonts w:ascii="Times New Roman" w:hAnsi="Times New Roman" w:cs="Calibri"/>
          <w:sz w:val="24"/>
          <w:szCs w:val="24"/>
        </w:rPr>
        <w:t>судочинство</w:t>
      </w:r>
      <w:r w:rsidR="00CA4FFE" w:rsidRPr="00552AA6">
        <w:rPr>
          <w:rFonts w:ascii="Times New Roman" w:hAnsi="Times New Roman"/>
          <w:sz w:val="24"/>
          <w:szCs w:val="24"/>
        </w:rPr>
        <w:t xml:space="preserve"> (</w:t>
      </w:r>
      <w:r w:rsidR="00CA4FFE" w:rsidRPr="00552AA6">
        <w:rPr>
          <w:rFonts w:ascii="Times New Roman" w:hAnsi="Times New Roman" w:cs="Calibri"/>
          <w:sz w:val="24"/>
          <w:szCs w:val="24"/>
        </w:rPr>
        <w:t>арбітраж</w:t>
      </w:r>
      <w:r w:rsidR="00CA4FFE" w:rsidRPr="00552AA6">
        <w:rPr>
          <w:rFonts w:ascii="Times New Roman" w:hAnsi="Times New Roman"/>
          <w:sz w:val="24"/>
          <w:szCs w:val="24"/>
        </w:rPr>
        <w:t>), м</w:t>
      </w:r>
      <w:r w:rsidR="00CA4FFE" w:rsidRPr="00552AA6">
        <w:rPr>
          <w:rFonts w:ascii="Times New Roman" w:hAnsi="Times New Roman" w:cs="Calibri"/>
          <w:sz w:val="24"/>
          <w:szCs w:val="24"/>
        </w:rPr>
        <w:t>іні</w:t>
      </w:r>
      <w:r w:rsidR="00CA4FFE" w:rsidRPr="00552AA6">
        <w:rPr>
          <w:rFonts w:ascii="Times New Roman" w:hAnsi="Times New Roman"/>
          <w:sz w:val="24"/>
          <w:szCs w:val="24"/>
        </w:rPr>
        <w:t>-</w:t>
      </w:r>
      <w:r w:rsidR="00CA4FFE" w:rsidRPr="00552AA6">
        <w:rPr>
          <w:rFonts w:ascii="Times New Roman" w:hAnsi="Times New Roman" w:cs="Calibri"/>
          <w:sz w:val="24"/>
          <w:szCs w:val="24"/>
        </w:rPr>
        <w:t>розгляд, мед</w:t>
      </w:r>
      <w:r w:rsidR="00CA4FFE" w:rsidRPr="00552AA6">
        <w:rPr>
          <w:rFonts w:ascii="Times New Roman" w:hAnsi="Times New Roman"/>
          <w:sz w:val="24"/>
          <w:szCs w:val="24"/>
        </w:rPr>
        <w:t>-</w:t>
      </w:r>
      <w:proofErr w:type="spellStart"/>
      <w:r w:rsidR="00CA4FFE" w:rsidRPr="00552AA6">
        <w:rPr>
          <w:rFonts w:ascii="Times New Roman" w:hAnsi="Times New Roman" w:cs="Calibri"/>
          <w:sz w:val="24"/>
          <w:szCs w:val="24"/>
        </w:rPr>
        <w:t>ар</w:t>
      </w:r>
      <w:r w:rsidR="00CA4FFE" w:rsidRPr="00552AA6">
        <w:rPr>
          <w:rFonts w:ascii="Times New Roman" w:hAnsi="Times New Roman"/>
          <w:sz w:val="24"/>
          <w:szCs w:val="24"/>
        </w:rPr>
        <w:t>б</w:t>
      </w:r>
      <w:proofErr w:type="spellEnd"/>
      <w:r w:rsidR="00CA4FFE" w:rsidRPr="00552AA6">
        <w:rPr>
          <w:rFonts w:ascii="Times New Roman" w:hAnsi="Times New Roman"/>
          <w:sz w:val="24"/>
          <w:szCs w:val="24"/>
        </w:rPr>
        <w:t>, п</w:t>
      </w:r>
      <w:r w:rsidR="00CA4FFE" w:rsidRPr="00552AA6">
        <w:rPr>
          <w:rFonts w:ascii="Times New Roman" w:hAnsi="Times New Roman" w:cs="Calibri"/>
          <w:sz w:val="24"/>
          <w:szCs w:val="24"/>
        </w:rPr>
        <w:t>риватний</w:t>
      </w:r>
      <w:r w:rsidR="00CA4FFE" w:rsidRPr="00552AA6">
        <w:rPr>
          <w:rFonts w:ascii="Times New Roman" w:hAnsi="Times New Roman"/>
          <w:sz w:val="24"/>
          <w:szCs w:val="24"/>
        </w:rPr>
        <w:t xml:space="preserve"> </w:t>
      </w:r>
      <w:r w:rsidR="00CA4FFE" w:rsidRPr="00552AA6">
        <w:rPr>
          <w:rFonts w:ascii="Times New Roman" w:hAnsi="Times New Roman" w:cs="Calibri"/>
          <w:sz w:val="24"/>
          <w:szCs w:val="24"/>
        </w:rPr>
        <w:t>суд.</w:t>
      </w:r>
    </w:p>
    <w:p w:rsidR="00CA4FFE" w:rsidRPr="00EB20DC" w:rsidRDefault="00CA4F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</w:rPr>
      </w:pPr>
    </w:p>
    <w:p w:rsidR="00CA4FFE" w:rsidRPr="00552AA6" w:rsidRDefault="000F0E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DC">
        <w:rPr>
          <w:rFonts w:ascii="Times New Roman" w:hAnsi="Times New Roman" w:cs="Calibri"/>
          <w:b/>
          <w:i/>
          <w:sz w:val="24"/>
          <w:szCs w:val="24"/>
        </w:rPr>
        <w:tab/>
      </w:r>
      <w:r w:rsidR="00CA4FFE" w:rsidRPr="00552AA6">
        <w:rPr>
          <w:rFonts w:ascii="Times New Roman" w:hAnsi="Times New Roman" w:cs="Calibri"/>
          <w:b/>
          <w:sz w:val="24"/>
          <w:szCs w:val="24"/>
        </w:rPr>
        <w:t>Завдання 5.</w:t>
      </w:r>
      <w:r w:rsidR="00CA4FFE" w:rsidRPr="00EB20DC">
        <w:rPr>
          <w:rFonts w:ascii="Times New Roman" w:hAnsi="Times New Roman" w:cs="Calibri"/>
          <w:b/>
          <w:i/>
          <w:sz w:val="24"/>
          <w:szCs w:val="24"/>
        </w:rPr>
        <w:t xml:space="preserve"> </w:t>
      </w:r>
      <w:r w:rsidR="00CA4FFE" w:rsidRPr="00552AA6">
        <w:rPr>
          <w:rFonts w:ascii="Times New Roman" w:hAnsi="Times New Roman" w:cs="Calibri"/>
          <w:sz w:val="24"/>
          <w:szCs w:val="24"/>
        </w:rPr>
        <w:t>Розкрийте правовий статус омбудсмена у зарубіжних країнах та проведіть паралелі із національним законодавством.</w:t>
      </w:r>
    </w:p>
    <w:p w:rsidR="00CA4FFE" w:rsidRPr="00EB20DC" w:rsidRDefault="00CA4FFE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3B3C" w:rsidRDefault="00CC11B4" w:rsidP="009E3D8F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B20DC" w:rsidRPr="00EB20DC" w:rsidRDefault="009E3D8F" w:rsidP="009E3D8F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Завдання 6. </w:t>
      </w:r>
      <w:r w:rsidR="00EB20DC" w:rsidRPr="00EB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Заповніть таблицю.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05"/>
        <w:gridCol w:w="1216"/>
        <w:gridCol w:w="1339"/>
        <w:gridCol w:w="1067"/>
        <w:gridCol w:w="1320"/>
        <w:gridCol w:w="724"/>
        <w:gridCol w:w="845"/>
        <w:gridCol w:w="1251"/>
        <w:gridCol w:w="1109"/>
      </w:tblGrid>
      <w:tr w:rsidR="00EB20DC" w:rsidRPr="00EB20DC" w:rsidTr="00EB20DC">
        <w:tc>
          <w:tcPr>
            <w:tcW w:w="905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6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Сінгапур</w:t>
            </w:r>
          </w:p>
        </w:tc>
        <w:tc>
          <w:tcPr>
            <w:tcW w:w="1339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Швейцарія</w:t>
            </w:r>
          </w:p>
        </w:tc>
        <w:tc>
          <w:tcPr>
            <w:tcW w:w="1067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1320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Німеччина</w:t>
            </w:r>
          </w:p>
        </w:tc>
        <w:tc>
          <w:tcPr>
            <w:tcW w:w="724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Індія</w:t>
            </w:r>
          </w:p>
        </w:tc>
        <w:tc>
          <w:tcPr>
            <w:tcW w:w="845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251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109" w:type="dxa"/>
          </w:tcPr>
          <w:p w:rsidR="00EB20DC" w:rsidRPr="00843B3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Україна</w:t>
            </w:r>
          </w:p>
        </w:tc>
      </w:tr>
      <w:tr w:rsidR="00EB20DC" w:rsidRPr="00EB20DC" w:rsidTr="00EB20DC">
        <w:tc>
          <w:tcPr>
            <w:tcW w:w="905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Види АВС</w:t>
            </w:r>
          </w:p>
        </w:tc>
        <w:tc>
          <w:tcPr>
            <w:tcW w:w="1216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EB20DC" w:rsidRPr="00EB20DC" w:rsidRDefault="00EB20DC" w:rsidP="00EB20DC">
            <w:pPr>
              <w:pStyle w:val="a5"/>
              <w:tabs>
                <w:tab w:val="left" w:pos="703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2AA6" w:rsidRDefault="00552AA6" w:rsidP="00552AA6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EB20DC" w:rsidRPr="002369F8" w:rsidRDefault="009E3D8F" w:rsidP="009E3D8F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7. </w:t>
      </w:r>
      <w:r w:rsidR="00EB20DC" w:rsidRPr="002369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Проаналізуйте зміст </w:t>
      </w:r>
      <w:r w:rsidR="00552AA6" w:rsidRPr="002369F8">
        <w:rPr>
          <w:rFonts w:ascii="Times New Roman" w:eastAsia="Times New Roman" w:hAnsi="Times New Roman"/>
          <w:sz w:val="24"/>
          <w:szCs w:val="24"/>
          <w:lang w:eastAsia="ru-RU"/>
        </w:rPr>
        <w:t>Директиви</w:t>
      </w:r>
      <w:r w:rsidR="00EB20DC" w:rsidRPr="002369F8">
        <w:rPr>
          <w:rFonts w:ascii="Times New Roman" w:eastAsia="Times New Roman" w:hAnsi="Times New Roman"/>
          <w:sz w:val="24"/>
          <w:szCs w:val="24"/>
          <w:lang w:eastAsia="ru-RU"/>
        </w:rPr>
        <w:t xml:space="preserve"> 2008/52/ ЄС  та </w:t>
      </w:r>
      <w:r w:rsidR="00552AA6" w:rsidRPr="002369F8">
        <w:rPr>
          <w:rFonts w:ascii="Times New Roman" w:eastAsia="Times New Roman" w:hAnsi="Times New Roman"/>
          <w:sz w:val="24"/>
          <w:szCs w:val="24"/>
          <w:lang w:eastAsia="ru-RU"/>
        </w:rPr>
        <w:t>Директиви</w:t>
      </w:r>
      <w:r w:rsidR="00EB20DC" w:rsidRPr="002369F8">
        <w:rPr>
          <w:rFonts w:ascii="Times New Roman" w:eastAsia="Times New Roman" w:hAnsi="Times New Roman"/>
          <w:sz w:val="24"/>
          <w:szCs w:val="24"/>
          <w:lang w:eastAsia="ru-RU"/>
        </w:rPr>
        <w:t xml:space="preserve"> 2013/11/ЄС </w:t>
      </w:r>
      <w:r w:rsidR="00552AA6" w:rsidRPr="002369F8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АВС </w:t>
      </w:r>
      <w:r w:rsidR="00EB20DC" w:rsidRPr="002369F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52AA6" w:rsidRPr="002369F8">
        <w:rPr>
          <w:rFonts w:ascii="Times New Roman" w:eastAsia="Times New Roman" w:hAnsi="Times New Roman"/>
          <w:sz w:val="24"/>
          <w:szCs w:val="24"/>
          <w:lang w:eastAsia="ru-RU"/>
        </w:rPr>
        <w:t>а виділіть їх основні положення</w:t>
      </w:r>
      <w:r w:rsidR="00EB20DC" w:rsidRPr="002369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0DC" w:rsidRPr="00EB20DC" w:rsidRDefault="00EB20DC" w:rsidP="00EB20DC">
      <w:pPr>
        <w:pStyle w:val="a5"/>
        <w:tabs>
          <w:tab w:val="left" w:pos="703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69F8" w:rsidRDefault="009B0B6C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CC11B4" w:rsidRDefault="00CC11B4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Тема. </w:t>
      </w:r>
      <w:r w:rsidR="00790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B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Правова характеристика діяльності міжнародного комерційного арбітражу</w:t>
      </w:r>
    </w:p>
    <w:p w:rsidR="00552AA6" w:rsidRDefault="00790EF7" w:rsidP="00552AA6">
      <w:pPr>
        <w:tabs>
          <w:tab w:val="left" w:pos="7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90E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(питання для обговорення)</w:t>
      </w:r>
    </w:p>
    <w:p w:rsidR="00790EF7" w:rsidRPr="00790EF7" w:rsidRDefault="00790EF7" w:rsidP="00552AA6">
      <w:pPr>
        <w:tabs>
          <w:tab w:val="left" w:pos="7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552AA6" w:rsidRDefault="00552AA6" w:rsidP="00552AA6">
      <w:pPr>
        <w:pStyle w:val="a5"/>
        <w:numPr>
          <w:ilvl w:val="0"/>
          <w:numId w:val="5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Теоретичні та нормативні підходи до визначення поняття «арбітраж». Правове регулювання діяльності МКА. </w:t>
      </w:r>
    </w:p>
    <w:p w:rsidR="00552AA6" w:rsidRDefault="00552AA6" w:rsidP="00552AA6">
      <w:pPr>
        <w:pStyle w:val="a5"/>
        <w:numPr>
          <w:ilvl w:val="0"/>
          <w:numId w:val="5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Класифікація видів арбітражу. </w:t>
      </w:r>
    </w:p>
    <w:p w:rsidR="00552AA6" w:rsidRDefault="00552AA6" w:rsidP="00552AA6">
      <w:pPr>
        <w:pStyle w:val="a5"/>
        <w:numPr>
          <w:ilvl w:val="0"/>
          <w:numId w:val="5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bCs/>
          <w:sz w:val="24"/>
          <w:szCs w:val="24"/>
          <w:lang w:eastAsia="ru-RU"/>
        </w:rPr>
        <w:t>Міжнародний комерційний арбітраж в системі цивільного судочинства.</w:t>
      </w:r>
    </w:p>
    <w:p w:rsidR="00552AA6" w:rsidRDefault="00552AA6" w:rsidP="00552AA6">
      <w:pPr>
        <w:pStyle w:val="a5"/>
        <w:numPr>
          <w:ilvl w:val="0"/>
          <w:numId w:val="5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A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Переваги та недоліки МКА.</w:t>
      </w:r>
    </w:p>
    <w:p w:rsidR="002369F8" w:rsidRDefault="002369F8" w:rsidP="002369F8">
      <w:pPr>
        <w:pStyle w:val="a5"/>
        <w:tabs>
          <w:tab w:val="left" w:pos="703"/>
        </w:tabs>
        <w:suppressAutoHyphens/>
        <w:spacing w:after="0" w:line="240" w:lineRule="auto"/>
        <w:ind w:left="10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69F8" w:rsidRDefault="002369F8" w:rsidP="002369F8">
      <w:pPr>
        <w:pStyle w:val="a5"/>
        <w:ind w:left="1097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t>Список нормативно-правових актів та літератури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90EF7" w:rsidRPr="00790EF7" w:rsidRDefault="00790EF7" w:rsidP="005F4DC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ru-RU" w:eastAsia="ru-RU"/>
        </w:rPr>
      </w:pPr>
      <w:r w:rsidRPr="00790E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79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процесуальний кодекс України: в редакції Закону № 2147-</w:t>
      </w:r>
      <w:r w:rsidRPr="00790EF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79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 03.10.2017 року. – ВВР. – 2017. - № 48. Ст. 436.</w:t>
      </w:r>
    </w:p>
    <w:p w:rsidR="00790EF7" w:rsidRPr="00790EF7" w:rsidRDefault="00790EF7" w:rsidP="005F4DC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ru-RU" w:eastAsia="ru-RU"/>
        </w:rPr>
      </w:pPr>
      <w:r w:rsidRPr="0079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України «Про міжнародний комерційний арбітраж» від 24.02.1994 року (із змінами) // </w:t>
      </w:r>
      <w:r w:rsidRPr="00790EF7">
        <w:rPr>
          <w:rFonts w:ascii="Times New Roman" w:eastAsia="Times New Roman" w:hAnsi="Times New Roman" w:cs="Courier New"/>
          <w:iCs/>
          <w:color w:val="000000" w:themeColor="text1"/>
          <w:sz w:val="24"/>
          <w:szCs w:val="24"/>
          <w:lang w:val="ru-RU" w:eastAsia="ru-RU"/>
        </w:rPr>
        <w:t>(ВВР), 1994, N 25, ст.198.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Курс</w:t>
      </w:r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цивільного процесу : підручник /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акад. України ім. Ярослава Мудрого" ; за ред. В. В. Комарова. – Х. : Право, 2011. – 1352 с. Х629.2я7 / К 93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Тертишніков</w:t>
      </w:r>
      <w:proofErr w:type="spellEnd"/>
      <w:r w:rsidRPr="00C20C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 І. </w:t>
      </w:r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Цивільний процес України: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В. І.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Тертишніков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Х. :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2012. – 424 с. Х629.2 / Т35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</w:t>
      </w:r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процес України :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С. О. Погрібний, Р. Ф.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Гонгало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 В. Волкова [та ін.]. – Х. : Одіссей, 2010. – 184 с. Х629.2 / Ц45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 України : підручник /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«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Одес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акад.» ; за ред.: Р. М.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Мінченко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 В. Андронова. – Х. : Одіссей, 2012. – 496 с.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C20C08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«За» і «проти» арбітражу та медіації / Х.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2015. – 17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20.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Кравцов С. Судовий контроль дійсності арбітражних угод / С. Кравцов // Юридична Україна, 2012. - № 3. – С. 79-86.</w:t>
      </w:r>
    </w:p>
    <w:p w:rsidR="00790EF7" w:rsidRPr="00C20C08" w:rsidRDefault="00790EF7" w:rsidP="00790EF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Трекке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Третейський арбітраж. / А. </w:t>
      </w:r>
      <w:proofErr w:type="spellStart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Трекке</w:t>
      </w:r>
      <w:proofErr w:type="spellEnd"/>
      <w:r w:rsidRPr="00C20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Юридичний вісник України. - № 48. – С. 15.</w:t>
      </w:r>
    </w:p>
    <w:p w:rsidR="002369F8" w:rsidRDefault="00CC11B4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Courier New" w:hAnsi="Times New Roman"/>
          <w:bCs/>
          <w:kern w:val="1"/>
          <w:sz w:val="24"/>
          <w:szCs w:val="24"/>
          <w:lang w:eastAsia="ru-RU"/>
        </w:rPr>
      </w:pPr>
      <w:r w:rsidRPr="00EB20DC">
        <w:rPr>
          <w:rFonts w:ascii="Times New Roman" w:eastAsia="Courier New" w:hAnsi="Times New Roman"/>
          <w:bCs/>
          <w:kern w:val="1"/>
          <w:sz w:val="24"/>
          <w:szCs w:val="24"/>
          <w:lang w:eastAsia="ru-RU"/>
        </w:rPr>
        <w:tab/>
      </w:r>
    </w:p>
    <w:p w:rsidR="00CC11B4" w:rsidRPr="002369F8" w:rsidRDefault="00CC11B4" w:rsidP="009B0B6C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Courier New" w:hAnsi="Times New Roman"/>
          <w:b/>
          <w:bCs/>
          <w:i/>
          <w:kern w:val="1"/>
          <w:sz w:val="24"/>
          <w:szCs w:val="24"/>
          <w:lang w:eastAsia="ru-RU"/>
        </w:rPr>
      </w:pPr>
      <w:r w:rsidRPr="002369F8">
        <w:rPr>
          <w:rFonts w:ascii="Times New Roman" w:eastAsia="Courier New" w:hAnsi="Times New Roman"/>
          <w:b/>
          <w:bCs/>
          <w:i/>
          <w:kern w:val="1"/>
          <w:sz w:val="24"/>
          <w:szCs w:val="24"/>
          <w:lang w:eastAsia="ru-RU"/>
        </w:rPr>
        <w:t>Завдання. Вирішіть кейси.</w:t>
      </w:r>
    </w:p>
    <w:p w:rsidR="009B0B6C" w:rsidRPr="002369F8" w:rsidRDefault="009B0B6C" w:rsidP="009B0B6C">
      <w:pPr>
        <w:spacing w:after="0" w:line="240" w:lineRule="auto"/>
        <w:ind w:firstLine="709"/>
        <w:rPr>
          <w:rFonts w:ascii="Times New Roman" w:eastAsia="Courier New" w:hAnsi="Times New Roman"/>
          <w:b/>
          <w:bCs/>
          <w:kern w:val="1"/>
          <w:sz w:val="24"/>
          <w:szCs w:val="24"/>
          <w:lang w:eastAsia="ru-RU"/>
        </w:rPr>
      </w:pPr>
    </w:p>
    <w:p w:rsidR="009B0B6C" w:rsidRPr="00EB20DC" w:rsidRDefault="009B0B6C" w:rsidP="009B0B6C">
      <w:pPr>
        <w:spacing w:after="0" w:line="240" w:lineRule="auto"/>
        <w:ind w:firstLine="709"/>
        <w:rPr>
          <w:rFonts w:ascii="Times New Roman" w:eastAsia="Courier New" w:hAnsi="Times New Roman"/>
          <w:b/>
          <w:bCs/>
          <w:kern w:val="1"/>
          <w:sz w:val="24"/>
          <w:szCs w:val="24"/>
          <w:lang w:eastAsia="ru-RU"/>
        </w:rPr>
      </w:pPr>
      <w:r w:rsidRPr="00EB20DC">
        <w:rPr>
          <w:rFonts w:ascii="Times New Roman" w:eastAsia="Courier New" w:hAnsi="Times New Roman"/>
          <w:b/>
          <w:bCs/>
          <w:kern w:val="1"/>
          <w:sz w:val="24"/>
          <w:szCs w:val="24"/>
          <w:lang w:eastAsia="ru-RU"/>
        </w:rPr>
        <w:t>Кейс 1.</w:t>
      </w:r>
    </w:p>
    <w:p w:rsidR="00B62277" w:rsidRPr="00EB20DC" w:rsidRDefault="00B62277" w:rsidP="009B0B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B20DC">
        <w:rPr>
          <w:color w:val="000000"/>
        </w:rPr>
        <w:t xml:space="preserve">У грудні 2019 року Приватне акціонерне товариство Північний гірничо-збагачувальний комбінат  звернулось до суду із заявою про скасування рішення Міжнародного комерційного арбітражного суду при Торгово-промисловій палаті України від 28 жовтня 2018 року, </w:t>
      </w:r>
      <w:proofErr w:type="spellStart"/>
      <w:r w:rsidRPr="00EB20DC">
        <w:rPr>
          <w:color w:val="000000"/>
        </w:rPr>
        <w:t>обгрунтовуючи</w:t>
      </w:r>
      <w:proofErr w:type="spellEnd"/>
      <w:r w:rsidRPr="00EB20DC">
        <w:rPr>
          <w:color w:val="000000"/>
        </w:rPr>
        <w:t xml:space="preserve"> свої вимоги тим, що 28 жовтня 2018 року Міжнародний комерційний арбітражний суд при Торгово-промисловій палаті України розглянув справу за позовом </w:t>
      </w:r>
      <w:proofErr w:type="spellStart"/>
      <w:r w:rsidRPr="00EB20DC">
        <w:rPr>
          <w:color w:val="000000"/>
        </w:rPr>
        <w:t>Sheekar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Corporation</w:t>
      </w:r>
      <w:proofErr w:type="spellEnd"/>
      <w:r w:rsidRPr="00EB20DC">
        <w:rPr>
          <w:color w:val="000000"/>
        </w:rPr>
        <w:t xml:space="preserve"> GА (</w:t>
      </w:r>
      <w:proofErr w:type="spellStart"/>
      <w:r w:rsidRPr="00EB20DC">
        <w:rPr>
          <w:color w:val="000000"/>
        </w:rPr>
        <w:t>Шикар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Корпорейшн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ДжиЭй</w:t>
      </w:r>
      <w:proofErr w:type="spellEnd"/>
      <w:r w:rsidRPr="00EB20DC">
        <w:rPr>
          <w:color w:val="000000"/>
        </w:rPr>
        <w:t xml:space="preserve">) до Приватного акціонерного товариства Північний гірничо-збагачувальний комбінат про стягнення заборгованості за поставлений товар, пені за порушення строків оплати товару. За результатами розгляду вказаного позову ухвалено рішення, яким стягнуто з Приватного акціонерного товариства Північний гірничо-збагачувальний комбінат на користь </w:t>
      </w:r>
      <w:proofErr w:type="spellStart"/>
      <w:r w:rsidRPr="00EB20DC">
        <w:rPr>
          <w:color w:val="000000"/>
        </w:rPr>
        <w:t>Sheekar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Corporation</w:t>
      </w:r>
      <w:proofErr w:type="spellEnd"/>
      <w:r w:rsidRPr="00EB20DC">
        <w:rPr>
          <w:color w:val="000000"/>
        </w:rPr>
        <w:t xml:space="preserve"> GА (</w:t>
      </w:r>
      <w:proofErr w:type="spellStart"/>
      <w:r w:rsidRPr="00EB20DC">
        <w:rPr>
          <w:color w:val="000000"/>
        </w:rPr>
        <w:t>Шикар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Корпорейшн</w:t>
      </w:r>
      <w:proofErr w:type="spellEnd"/>
      <w:r w:rsidRPr="00EB20DC">
        <w:rPr>
          <w:color w:val="000000"/>
        </w:rPr>
        <w:t xml:space="preserve"> </w:t>
      </w:r>
      <w:proofErr w:type="spellStart"/>
      <w:r w:rsidRPr="00EB20DC">
        <w:rPr>
          <w:color w:val="000000"/>
        </w:rPr>
        <w:t>ДжиЭй</w:t>
      </w:r>
      <w:proofErr w:type="spellEnd"/>
      <w:r w:rsidRPr="00EB20DC">
        <w:rPr>
          <w:color w:val="000000"/>
        </w:rPr>
        <w:t xml:space="preserve">) 200 </w:t>
      </w:r>
      <w:r w:rsidRPr="00EB20DC">
        <w:rPr>
          <w:color w:val="000000"/>
        </w:rPr>
        <w:lastRenderedPageBreak/>
        <w:t>000, 00 доларів США заборгованості за поставлений товар, 7 500, 00 доларів США пені за порушення строків оплати товару, 10 00,00 доларів США у відшкодування витрат по оплаті арбітражного збору. Свої вимоги позивач обґрунтовує тим, що рішення Міжнародного комерційного арбітражного суду при Торгово-промисловій палаті України від 28 жовтня 2018 року підлягає скасуванню з тих підстав, що воно винесено щодо не передбаченого арбітражною угодою спору (не підпадає під її умови) та склад суду не відповідали угоді сторін</w:t>
      </w:r>
      <w:r w:rsidR="00DD29EE" w:rsidRPr="00EB20DC">
        <w:rPr>
          <w:color w:val="000000"/>
        </w:rPr>
        <w:t>.</w:t>
      </w:r>
    </w:p>
    <w:p w:rsidR="00DD29EE" w:rsidRPr="00EB20DC" w:rsidRDefault="00DD29EE" w:rsidP="009B0B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B20DC">
        <w:rPr>
          <w:color w:val="000000"/>
        </w:rPr>
        <w:t xml:space="preserve">Між сторонами було укладено ЗЕД контракт, який містив пункт  </w:t>
      </w:r>
      <w:r w:rsidR="00F17C72" w:rsidRPr="00EB20DC">
        <w:rPr>
          <w:color w:val="000000"/>
        </w:rPr>
        <w:t>про арбітражне застереження, але не містив відомості про порядок призначення арбітрів, їх кількість, компетенцію МКС.</w:t>
      </w:r>
    </w:p>
    <w:p w:rsidR="00B62277" w:rsidRPr="00EB20DC" w:rsidRDefault="00B62277" w:rsidP="009B0B6C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B20DC">
        <w:rPr>
          <w:b/>
          <w:i/>
          <w:color w:val="000000"/>
        </w:rPr>
        <w:t>Чи підлягають позовні вимоги задоволенню? У яких випадках рішення МКА можу</w:t>
      </w:r>
      <w:r w:rsidR="00DD29EE" w:rsidRPr="00EB20DC">
        <w:rPr>
          <w:b/>
          <w:i/>
          <w:color w:val="000000"/>
        </w:rPr>
        <w:t xml:space="preserve">ть бути скасоване </w:t>
      </w:r>
      <w:r w:rsidRPr="00EB20DC">
        <w:rPr>
          <w:b/>
          <w:i/>
          <w:color w:val="000000"/>
        </w:rPr>
        <w:t>або змінене?</w:t>
      </w:r>
      <w:r w:rsidR="00DD29EE" w:rsidRPr="00EB20DC">
        <w:rPr>
          <w:b/>
          <w:i/>
          <w:color w:val="000000"/>
        </w:rPr>
        <w:t xml:space="preserve"> Який порядок формування та розгляду МКА переданих справ?</w:t>
      </w:r>
    </w:p>
    <w:p w:rsidR="009B0B6C" w:rsidRPr="00EB20DC" w:rsidRDefault="009B0B6C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F17C72" w:rsidRPr="00EB20DC" w:rsidRDefault="00F17C72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EB20DC">
        <w:rPr>
          <w:b/>
          <w:color w:val="000000"/>
        </w:rPr>
        <w:t>К</w:t>
      </w:r>
      <w:r w:rsidR="001472D5" w:rsidRPr="00EB20DC">
        <w:rPr>
          <w:b/>
          <w:color w:val="000000"/>
        </w:rPr>
        <w:t>ейс</w:t>
      </w:r>
      <w:r w:rsidRPr="00EB20DC">
        <w:rPr>
          <w:b/>
          <w:color w:val="000000"/>
        </w:rPr>
        <w:t xml:space="preserve"> 2</w:t>
      </w:r>
    </w:p>
    <w:p w:rsidR="009539C0" w:rsidRPr="00EB20DC" w:rsidRDefault="00F17C72" w:rsidP="009B0B6C">
      <w:pPr>
        <w:pStyle w:val="a3"/>
        <w:spacing w:before="0" w:beforeAutospacing="0" w:after="0" w:afterAutospacing="0"/>
        <w:ind w:firstLine="709"/>
        <w:jc w:val="both"/>
      </w:pPr>
      <w:r w:rsidRPr="00EB20DC">
        <w:t>До господарського суду м. Києва звернулося Акціонерне товариство з позовом до Товариства з обмеженою про визнання розділу контракту недійсним. Свої позовні вимоги позивач обґрунтовує тим, що у вказаному пункті контракту міститься арбітражне застереження (</w:t>
      </w:r>
      <w:r w:rsidR="009539C0" w:rsidRPr="00EB20DC">
        <w:t xml:space="preserve">п. 8 контракту </w:t>
      </w:r>
      <w:r w:rsidR="005412F0" w:rsidRPr="00EB20DC">
        <w:t xml:space="preserve">вказано, що  </w:t>
      </w:r>
      <w:r w:rsidRPr="00EB20DC">
        <w:t>всі спори та розбіжності, які можуть виникнути з даного контракту або у зв'язку з ним, не урегульовані шляхом переговорів підлягають розгляду в Арбітражному суді при Торгово-промисловій палаті країни відповідача) щодо передачі спорів, які можуть виникнути з даного контракту, на розгляд до Арбітражного суду при Торгово-промисловій палаті країни відповідача, що суперечить вимогам чинного законодавства України, зокрема, </w:t>
      </w:r>
      <w:hyperlink r:id="rId6" w:tgtFrame="_blank" w:tooltip="Про міжнародний комерційний арбітраж; нормативно-правовий акт № 4002-XII від 24.02.1994" w:history="1">
        <w:r w:rsidRPr="00EB20DC">
          <w:rPr>
            <w:rStyle w:val="a4"/>
            <w:color w:val="auto"/>
            <w:u w:val="none"/>
          </w:rPr>
          <w:t>Закону України "Про Міжнародний комерційний арбітраж"</w:t>
        </w:r>
      </w:hyperlink>
      <w:r w:rsidRPr="00EB20DC">
        <w:t>. Позивач просить визнати такий розділ контракту недійсним.</w:t>
      </w:r>
    </w:p>
    <w:p w:rsidR="00CD5EBC" w:rsidRPr="00EB20DC" w:rsidRDefault="00CD5EBC" w:rsidP="009B0B6C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EB20DC">
        <w:t xml:space="preserve">Відповідач після початку розгляду справи по суті подав </w:t>
      </w:r>
      <w:r w:rsidRPr="00EB20DC">
        <w:rPr>
          <w:lang w:val="ru-RU"/>
        </w:rPr>
        <w:t xml:space="preserve">до суду </w:t>
      </w:r>
      <w:proofErr w:type="spellStart"/>
      <w:r w:rsidRPr="00EB20DC">
        <w:rPr>
          <w:lang w:val="ru-RU"/>
        </w:rPr>
        <w:t>заяву</w:t>
      </w:r>
      <w:proofErr w:type="spellEnd"/>
      <w:r w:rsidRPr="00EB20DC">
        <w:rPr>
          <w:lang w:val="ru-RU"/>
        </w:rPr>
        <w:t xml:space="preserve"> про </w:t>
      </w:r>
      <w:proofErr w:type="spellStart"/>
      <w:r w:rsidRPr="00EB20DC">
        <w:rPr>
          <w:lang w:val="ru-RU"/>
        </w:rPr>
        <w:t>припинення</w:t>
      </w:r>
      <w:proofErr w:type="spellEnd"/>
      <w:r w:rsidRPr="00EB20DC">
        <w:rPr>
          <w:lang w:val="ru-RU"/>
        </w:rPr>
        <w:t xml:space="preserve"> </w:t>
      </w:r>
      <w:proofErr w:type="spellStart"/>
      <w:r w:rsidRPr="00EB20DC">
        <w:rPr>
          <w:lang w:val="ru-RU"/>
        </w:rPr>
        <w:t>розгляду</w:t>
      </w:r>
      <w:proofErr w:type="spellEnd"/>
      <w:r w:rsidRPr="00EB20DC">
        <w:rPr>
          <w:lang w:val="ru-RU"/>
        </w:rPr>
        <w:t xml:space="preserve"> </w:t>
      </w:r>
      <w:proofErr w:type="spellStart"/>
      <w:r w:rsidRPr="00EB20DC">
        <w:rPr>
          <w:lang w:val="ru-RU"/>
        </w:rPr>
        <w:t>справи</w:t>
      </w:r>
      <w:proofErr w:type="spellEnd"/>
      <w:r w:rsidRPr="00EB20DC">
        <w:rPr>
          <w:lang w:val="ru-RU"/>
        </w:rPr>
        <w:t xml:space="preserve"> та </w:t>
      </w:r>
      <w:proofErr w:type="spellStart"/>
      <w:r w:rsidRPr="00EB20DC">
        <w:rPr>
          <w:lang w:val="ru-RU"/>
        </w:rPr>
        <w:t>передання</w:t>
      </w:r>
      <w:proofErr w:type="spellEnd"/>
      <w:r w:rsidRPr="00EB20DC">
        <w:rPr>
          <w:lang w:val="ru-RU"/>
        </w:rPr>
        <w:t xml:space="preserve"> </w:t>
      </w:r>
      <w:r w:rsidRPr="00EB20DC">
        <w:t>її</w:t>
      </w:r>
      <w:r w:rsidRPr="00EB20DC">
        <w:rPr>
          <w:lang w:val="ru-RU"/>
        </w:rPr>
        <w:t xml:space="preserve"> до МКА.</w:t>
      </w:r>
    </w:p>
    <w:p w:rsidR="00CD5EBC" w:rsidRPr="00EB20DC" w:rsidRDefault="00CD5EBC" w:rsidP="009B0B6C">
      <w:pPr>
        <w:pStyle w:val="a3"/>
        <w:spacing w:before="0" w:beforeAutospacing="0" w:after="0" w:afterAutospacing="0"/>
        <w:ind w:firstLine="709"/>
        <w:jc w:val="both"/>
        <w:rPr>
          <w:b/>
          <w:i/>
          <w:lang w:val="ru-RU"/>
        </w:rPr>
      </w:pPr>
      <w:proofErr w:type="spellStart"/>
      <w:r w:rsidRPr="00EB20DC">
        <w:rPr>
          <w:b/>
          <w:i/>
          <w:lang w:val="ru-RU"/>
        </w:rPr>
        <w:t>Визначіть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чи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міг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Господарський</w:t>
      </w:r>
      <w:proofErr w:type="spellEnd"/>
      <w:r w:rsidRPr="00EB20DC">
        <w:rPr>
          <w:b/>
          <w:i/>
          <w:lang w:val="ru-RU"/>
        </w:rPr>
        <w:t xml:space="preserve"> суд м. </w:t>
      </w:r>
      <w:proofErr w:type="spellStart"/>
      <w:r w:rsidRPr="00EB20DC">
        <w:rPr>
          <w:b/>
          <w:i/>
          <w:lang w:val="ru-RU"/>
        </w:rPr>
        <w:t>Києва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розглядати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дану</w:t>
      </w:r>
      <w:proofErr w:type="spellEnd"/>
      <w:r w:rsidRPr="00EB20DC">
        <w:rPr>
          <w:b/>
          <w:i/>
          <w:lang w:val="ru-RU"/>
        </w:rPr>
        <w:t xml:space="preserve"> справу по </w:t>
      </w:r>
      <w:proofErr w:type="spellStart"/>
      <w:r w:rsidRPr="00EB20DC">
        <w:rPr>
          <w:b/>
          <w:i/>
          <w:lang w:val="ru-RU"/>
        </w:rPr>
        <w:t>суті</w:t>
      </w:r>
      <w:proofErr w:type="spellEnd"/>
      <w:r w:rsidRPr="00EB20DC">
        <w:rPr>
          <w:b/>
          <w:i/>
          <w:lang w:val="ru-RU"/>
        </w:rPr>
        <w:t xml:space="preserve"> (</w:t>
      </w:r>
      <w:proofErr w:type="spellStart"/>
      <w:r w:rsidRPr="00EB20DC">
        <w:rPr>
          <w:b/>
          <w:i/>
          <w:lang w:val="ru-RU"/>
        </w:rPr>
        <w:t>чи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належить</w:t>
      </w:r>
      <w:proofErr w:type="spellEnd"/>
      <w:r w:rsidRPr="00EB20DC">
        <w:rPr>
          <w:b/>
          <w:i/>
          <w:lang w:val="ru-RU"/>
        </w:rPr>
        <w:t xml:space="preserve"> предмет спору до </w:t>
      </w:r>
      <w:proofErr w:type="spellStart"/>
      <w:r w:rsidRPr="00EB20DC">
        <w:rPr>
          <w:b/>
          <w:i/>
          <w:lang w:val="ru-RU"/>
        </w:rPr>
        <w:t>його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компетенції</w:t>
      </w:r>
      <w:proofErr w:type="spellEnd"/>
      <w:r w:rsidRPr="00EB20DC">
        <w:rPr>
          <w:b/>
          <w:i/>
          <w:lang w:val="ru-RU"/>
        </w:rPr>
        <w:t xml:space="preserve">)? </w:t>
      </w:r>
      <w:proofErr w:type="spellStart"/>
      <w:r w:rsidRPr="00EB20DC">
        <w:rPr>
          <w:b/>
          <w:i/>
          <w:lang w:val="ru-RU"/>
        </w:rPr>
        <w:t>Вкажіть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чи</w:t>
      </w:r>
      <w:proofErr w:type="spellEnd"/>
      <w:r w:rsidRPr="00EB20DC">
        <w:rPr>
          <w:b/>
          <w:i/>
          <w:lang w:val="ru-RU"/>
        </w:rPr>
        <w:t xml:space="preserve"> є </w:t>
      </w:r>
      <w:proofErr w:type="spellStart"/>
      <w:r w:rsidRPr="00EB20DC">
        <w:rPr>
          <w:b/>
          <w:i/>
          <w:lang w:val="ru-RU"/>
        </w:rPr>
        <w:t>підства</w:t>
      </w:r>
      <w:proofErr w:type="spellEnd"/>
      <w:r w:rsidRPr="00EB20DC">
        <w:rPr>
          <w:b/>
          <w:i/>
          <w:lang w:val="ru-RU"/>
        </w:rPr>
        <w:t xml:space="preserve"> для </w:t>
      </w:r>
      <w:proofErr w:type="spellStart"/>
      <w:r w:rsidRPr="00EB20DC">
        <w:rPr>
          <w:b/>
          <w:i/>
          <w:lang w:val="ru-RU"/>
        </w:rPr>
        <w:t>визнання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даної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умови</w:t>
      </w:r>
      <w:proofErr w:type="spellEnd"/>
      <w:r w:rsidRPr="00EB20DC">
        <w:rPr>
          <w:b/>
          <w:i/>
          <w:lang w:val="ru-RU"/>
        </w:rPr>
        <w:t xml:space="preserve"> договору </w:t>
      </w:r>
      <w:proofErr w:type="spellStart"/>
      <w:r w:rsidRPr="00EB20DC">
        <w:rPr>
          <w:b/>
          <w:i/>
          <w:lang w:val="ru-RU"/>
        </w:rPr>
        <w:t>недійсною</w:t>
      </w:r>
      <w:proofErr w:type="spellEnd"/>
      <w:r w:rsidRPr="00EB20DC">
        <w:rPr>
          <w:b/>
          <w:i/>
          <w:lang w:val="ru-RU"/>
        </w:rPr>
        <w:t xml:space="preserve">? </w:t>
      </w:r>
      <w:proofErr w:type="spellStart"/>
      <w:r w:rsidRPr="00EB20DC">
        <w:rPr>
          <w:b/>
          <w:i/>
          <w:lang w:val="ru-RU"/>
        </w:rPr>
        <w:t>Перелічіть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випадки</w:t>
      </w:r>
      <w:proofErr w:type="spellEnd"/>
      <w:r w:rsidRPr="00EB20DC">
        <w:rPr>
          <w:b/>
          <w:i/>
          <w:lang w:val="ru-RU"/>
        </w:rPr>
        <w:t xml:space="preserve"> за </w:t>
      </w:r>
      <w:proofErr w:type="spellStart"/>
      <w:r w:rsidRPr="00EB20DC">
        <w:rPr>
          <w:b/>
          <w:i/>
          <w:lang w:val="ru-RU"/>
        </w:rPr>
        <w:t>яких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арбітражне</w:t>
      </w:r>
      <w:proofErr w:type="spellEnd"/>
      <w:r w:rsidRPr="00EB20DC">
        <w:rPr>
          <w:b/>
          <w:i/>
          <w:lang w:val="ru-RU"/>
        </w:rPr>
        <w:t xml:space="preserve"> </w:t>
      </w:r>
      <w:proofErr w:type="spellStart"/>
      <w:r w:rsidRPr="00EB20DC">
        <w:rPr>
          <w:b/>
          <w:i/>
          <w:lang w:val="ru-RU"/>
        </w:rPr>
        <w:t>застереження</w:t>
      </w:r>
      <w:proofErr w:type="spellEnd"/>
      <w:r w:rsidRPr="00EB20DC">
        <w:rPr>
          <w:b/>
          <w:i/>
          <w:lang w:val="ru-RU"/>
        </w:rPr>
        <w:t xml:space="preserve"> є </w:t>
      </w:r>
      <w:proofErr w:type="spellStart"/>
      <w:r w:rsidRPr="00EB20DC">
        <w:rPr>
          <w:b/>
          <w:i/>
          <w:lang w:val="ru-RU"/>
        </w:rPr>
        <w:t>недійсним</w:t>
      </w:r>
      <w:proofErr w:type="spellEnd"/>
      <w:r w:rsidRPr="00EB20DC">
        <w:rPr>
          <w:b/>
          <w:i/>
          <w:lang w:val="ru-RU"/>
        </w:rPr>
        <w:t>.</w:t>
      </w:r>
    </w:p>
    <w:p w:rsidR="00CD5EBC" w:rsidRPr="00EB20DC" w:rsidRDefault="00CD5EBC" w:rsidP="009B0B6C">
      <w:pPr>
        <w:pStyle w:val="a3"/>
        <w:spacing w:before="0" w:beforeAutospacing="0" w:after="0" w:afterAutospacing="0"/>
        <w:ind w:firstLine="709"/>
        <w:jc w:val="both"/>
      </w:pPr>
    </w:p>
    <w:p w:rsidR="008235D9" w:rsidRPr="00EB20DC" w:rsidRDefault="008235D9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EB20DC">
        <w:rPr>
          <w:b/>
          <w:color w:val="000000"/>
        </w:rPr>
        <w:t>Кейс 3</w:t>
      </w:r>
    </w:p>
    <w:p w:rsidR="00872889" w:rsidRPr="00EB20DC" w:rsidRDefault="009B0B6C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лютому 2016 року компанія LTD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(Великобританія) звернулася до суду із клопотанням про надання дозволу на примусове виконання на території України рішення Міжнародного комерційного арбітражного суду при Торг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ово-промисловій палаті України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стягнення з публічного акці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онерного товариства «АвтоКрАЗ» 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користь компанії 1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000 000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доларів США - авансового платежу та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20 000</w:t>
      </w:r>
      <w:r w:rsidR="00F564BC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доларів США на відшкодування витрат зі сплати арбітражного збору, а всього 1 193 603,75 доларів США.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72889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Перші дві інстанції постановили рішення на користь компанії LTD (Великобританія). </w:t>
      </w:r>
      <w:r w:rsidR="00872889" w:rsidRPr="00EB20DC">
        <w:rPr>
          <w:rFonts w:ascii="Times New Roman" w:hAnsi="Times New Roman" w:cs="Times New Roman"/>
          <w:color w:val="000000"/>
          <w:sz w:val="24"/>
          <w:szCs w:val="24"/>
        </w:rPr>
        <w:t>ПАТ «АвтоКрАЗ» просить скасувати судові рішення із ухваленням нового рішення про відмову у задоволенні клопотання, посилаючись на неправильне застосування судами норм матеріального права та порушення норм процесуального права, оскільки  рішення арбітражного суду суперечить публічному порядку України, оскільки передбачає стягнення коштів в іноземній валюті, всупереч вимогам закону щодо порядку проведення грошових розрахунків на території України в іноземній валюті.</w:t>
      </w:r>
    </w:p>
    <w:p w:rsidR="00872889" w:rsidRPr="00EB20DC" w:rsidRDefault="009B0B6C" w:rsidP="009B0B6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20DC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</w:t>
      </w:r>
      <w:r w:rsidR="0021274B" w:rsidRPr="00EB20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підлягає касаційна скарга задоволенню? Що таке «публічний порядок»?</w:t>
      </w:r>
    </w:p>
    <w:p w:rsidR="009B0B6C" w:rsidRPr="00EB20DC" w:rsidRDefault="009B0B6C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A5A" w:rsidRPr="00EB20DC" w:rsidRDefault="004E1A5A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0DC">
        <w:rPr>
          <w:rFonts w:ascii="Times New Roman" w:hAnsi="Times New Roman" w:cs="Times New Roman"/>
          <w:b/>
          <w:sz w:val="24"/>
          <w:szCs w:val="24"/>
        </w:rPr>
        <w:t>Кейс 4</w:t>
      </w:r>
    </w:p>
    <w:p w:rsidR="004E1A5A" w:rsidRPr="00EB20DC" w:rsidRDefault="002C36A0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Компанія «Норберт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Шаллер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у січні 2018 року звернулась до суду України з клопотанням про визнання та надання дозволу на виконання рішень іноземного суду.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Вимоги клопотання обґрунтовувались тим, що Міжнародним арбітражним центром при Федеральній палаті економіки Австрії прийнято рішення за позовом компанії «Норберт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Шаллер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до Публічного акціонерного товариства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стягнення заборгованості на підставі банківської гарантії. Рішення прийнято одноособово арбітром Францом Т.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Шварцем</w:t>
      </w:r>
      <w:proofErr w:type="spellEnd"/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двох 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частинах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Сторони у арбітражному застереженні, яке становило окрему угоду, а не було чистиною договору, обрали правопорядок Австрії в аспекті регулювання відносин між ними. </w:t>
      </w:r>
    </w:p>
    <w:p w:rsidR="004E1A5A" w:rsidRPr="00EB20DC" w:rsidRDefault="002C36A0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hAnsi="Times New Roman" w:cs="Times New Roman"/>
          <w:color w:val="000000"/>
          <w:sz w:val="24"/>
          <w:szCs w:val="24"/>
        </w:rPr>
        <w:t>Міжнародний арбітражний центр при Федеральній палаті економіки Австрії вирішив: (a) сторони уклали дійсну арбітражну угоду, що міститься в банківській гарантії; (b) у результаті цього арбітр має юрисдикцію проводити слухання у справі, що порушена позивачем, і виносити у ній рішення; (c) відхилити заперечення відповідача щодо юрисдикції; (d) рішення про присудження оплати судових витрат за цим арбітражним процесом відкладається до винесення остаточного рішення (е)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відповідач повинен виплатити позивачу протягом 14 днів з часу вручення цього рішення 2 500 000, 00 євро, а також (плюс) наступні проценти.</w:t>
      </w:r>
    </w:p>
    <w:p w:rsidR="002C36A0" w:rsidRPr="00EB20DC" w:rsidRDefault="002C36A0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Український суд постановив</w:t>
      </w:r>
      <w:r w:rsidR="004E1A5A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B20DC">
        <w:rPr>
          <w:rFonts w:ascii="Times New Roman" w:hAnsi="Times New Roman" w:cs="Times New Roman"/>
          <w:color w:val="000000"/>
          <w:sz w:val="24"/>
          <w:szCs w:val="24"/>
        </w:rPr>
        <w:t>відмовити у задоволенні клопотання про визнання та надання дозволу на виконання рішень іноземного суду, зокрема з тих підстав, що рішення ухвалені у справі, розгляд якої віднесений виключно до компетенції суду чи іншого уповноваженого органу відповідно до законодавства України</w:t>
      </w:r>
      <w:r w:rsidR="004E1A5A" w:rsidRPr="00EB20DC">
        <w:rPr>
          <w:rFonts w:ascii="Times New Roman" w:hAnsi="Times New Roman" w:cs="Times New Roman"/>
          <w:color w:val="000000"/>
          <w:sz w:val="24"/>
          <w:szCs w:val="24"/>
        </w:rPr>
        <w:t>, а також, через те, що договір банківської гарантії є недійсним, отже й арбітражна угода є недійсною</w:t>
      </w:r>
      <w:r w:rsidRPr="00EB20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A5A" w:rsidRPr="00EB20DC" w:rsidRDefault="004E1A5A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B20DC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Аргументуйте чому позиція українського суду була правильна або неправильна. Що означає принцип автономності арбітражної угоди? Чи може арбітр одноособово розглядати справу та приймати рішення, яке складається з двох і більше частин? Вирішіть задачу по-суті.</w:t>
      </w:r>
    </w:p>
    <w:p w:rsidR="00C503DF" w:rsidRPr="00EB20DC" w:rsidRDefault="00C503DF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3DF" w:rsidRPr="00EB20DC" w:rsidRDefault="00C503DF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0DC">
        <w:rPr>
          <w:rFonts w:ascii="Times New Roman" w:hAnsi="Times New Roman" w:cs="Times New Roman"/>
          <w:b/>
          <w:sz w:val="24"/>
          <w:szCs w:val="24"/>
        </w:rPr>
        <w:t>Кейс 5</w:t>
      </w:r>
    </w:p>
    <w:p w:rsidR="00D521BE" w:rsidRPr="00EB20DC" w:rsidRDefault="00D521BE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лютому 2018 року публічне акціонерне товариство «Компанія» звернулось до суду із заявою про скасування арбітражного рішення Міжнародного комерційного арбітражного суду при Торгово-промисловій палаті України, у складі арбітра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Винокурової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 Ф у справі за позовом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Нусід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Сербія </w:t>
      </w:r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ПАТ «Компанія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про стягнення грошових коштів.</w:t>
      </w:r>
    </w:p>
    <w:p w:rsidR="00D521BE" w:rsidRPr="00EB20DC" w:rsidRDefault="00D521BE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Заява про скасування арбітражного рішення ПАТ «Компанія «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Райз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мотивована тим, що пунктом 9.3 статті 9 догово</w:t>
      </w:r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 купівлі-продажу 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укладеного між ПАТ «Компанія</w:t>
      </w:r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та </w:t>
      </w:r>
      <w:proofErr w:type="spellStart"/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Nuseed</w:t>
      </w:r>
      <w:proofErr w:type="spellEnd"/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Serbia</w:t>
      </w:r>
      <w:proofErr w:type="spellEnd"/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передбачено, що засідання арбітражного суду повинно проводитись двома арбітрами, на підставі тексту цього контракту. У відповідь на лист генерального секретаря Міжнародного комерційного арбітражного суду при Торгово-промисловій палаті України щодо зобов'язання відповідача повідомити ім'я та прізвище призначеного стороною арбітра із запропонованого списку, ПАТ «Компанія» зі своєї сторони запропоновано призначити арбітром </w:t>
      </w:r>
      <w:proofErr w:type="spellStart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Винокурову</w:t>
      </w:r>
      <w:proofErr w:type="spellEnd"/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 Ф. Постановою про внесення змін до постанови про прийняття справи до провадження Міжнародного комерційного арбітражного суду при Торгово-промисловій палаті України визначено, що справа буде розглядатись одноособовим арбітром, призначеним сторонами. Підставою для винесення такої постанови головою Міжнародного комерційного арбітражного суду при Торгово-промисловій палаті України вказано те, що і позивач, і відповідач призначили арбітром у справі одну особу. Заявник вважає, що арбітражним судом прийнято рішення не у відповідності до угоди сторін про склад суду.</w:t>
      </w:r>
    </w:p>
    <w:p w:rsidR="00D521BE" w:rsidRPr="00EB20DC" w:rsidRDefault="00D521BE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Посилаючись на викладені обставини, ПАТ «Компанія» просило суд скасувати рішення Міжнародного комерційного арбітражного суду при Тор</w:t>
      </w:r>
      <w:r w:rsidR="00C503DF" w:rsidRPr="00EB20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гово-промисловій палаті України.</w:t>
      </w:r>
    </w:p>
    <w:p w:rsidR="00D521BE" w:rsidRPr="00EB20DC" w:rsidRDefault="00C503DF" w:rsidP="009B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EB20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Чи підлягає задоволенню позов </w:t>
      </w:r>
      <w:r w:rsidRPr="00EB20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«Компанії» задоволенню? Що означає поняття зловживання процесуальними правами (з лат. «</w:t>
      </w:r>
      <w:proofErr w:type="spellStart"/>
      <w:r w:rsidRPr="00EB20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Шикана</w:t>
      </w:r>
      <w:proofErr w:type="spellEnd"/>
      <w:r w:rsidRPr="00EB20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»)?</w:t>
      </w:r>
    </w:p>
    <w:p w:rsidR="00C503DF" w:rsidRPr="00EB20DC" w:rsidRDefault="00C503DF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3DF" w:rsidRPr="00EB20DC" w:rsidRDefault="00C503DF" w:rsidP="009B0B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0DC">
        <w:rPr>
          <w:rFonts w:ascii="Times New Roman" w:hAnsi="Times New Roman" w:cs="Times New Roman"/>
          <w:b/>
          <w:sz w:val="24"/>
          <w:szCs w:val="24"/>
        </w:rPr>
        <w:t>Кейс 6</w:t>
      </w:r>
    </w:p>
    <w:p w:rsidR="008235D9" w:rsidRPr="00EB20DC" w:rsidRDefault="009B0B6C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0DC">
        <w:rPr>
          <w:rFonts w:ascii="Times New Roman" w:hAnsi="Times New Roman" w:cs="Times New Roman"/>
          <w:sz w:val="24"/>
          <w:szCs w:val="24"/>
        </w:rPr>
        <w:t>В</w:t>
      </w:r>
      <w:r w:rsidR="001472D5" w:rsidRPr="00EB20DC">
        <w:rPr>
          <w:rFonts w:ascii="Times New Roman" w:hAnsi="Times New Roman" w:cs="Times New Roman"/>
          <w:sz w:val="24"/>
          <w:szCs w:val="24"/>
        </w:rPr>
        <w:t xml:space="preserve"> контракті, укладеному між українським і російським підприємствами, в розділі «порядок вирішення спорів» зазначено, що спори, що виникають з цього контракту або в зв’язку із ним, вирішуються в порядку, передбаченому законодавством України. </w:t>
      </w:r>
    </w:p>
    <w:p w:rsidR="001472D5" w:rsidRPr="00EB20DC" w:rsidRDefault="001472D5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0DC">
        <w:rPr>
          <w:rFonts w:ascii="Times New Roman" w:hAnsi="Times New Roman" w:cs="Times New Roman"/>
          <w:b/>
          <w:i/>
          <w:sz w:val="24"/>
          <w:szCs w:val="24"/>
        </w:rPr>
        <w:t>Прокоментуйте цей розділ контракту. Який механізм вирішення спору він передбачає. В якому суді якої держави буде вирішуватися спір, якщо позивачем по справі буде українське підприємство і якщо позивачем по справі буде російське підприємство. Як визначається підвідомчість цієї справи.</w:t>
      </w:r>
    </w:p>
    <w:p w:rsidR="008235D9" w:rsidRPr="00EB20DC" w:rsidRDefault="008235D9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8235D9" w:rsidRPr="00EB20DC" w:rsidRDefault="00C503DF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EB20DC">
        <w:rPr>
          <w:b/>
          <w:color w:val="000000"/>
        </w:rPr>
        <w:lastRenderedPageBreak/>
        <w:t>Кейс 7</w:t>
      </w:r>
    </w:p>
    <w:p w:rsidR="008235D9" w:rsidRPr="00EB20DC" w:rsidRDefault="008235D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0DC">
        <w:rPr>
          <w:rFonts w:ascii="Times New Roman" w:hAnsi="Times New Roman" w:cs="Times New Roman"/>
          <w:sz w:val="24"/>
          <w:szCs w:val="24"/>
        </w:rPr>
        <w:t xml:space="preserve">В  розділі 7 договору купівлі – продажу зазначено, що спори, по яких сторонами не досягнута згода, вирішуються в Торгово -  промисловій палаті України або в господарському суді України із застосуванням норм матеріального і процесуального права України. </w:t>
      </w:r>
    </w:p>
    <w:p w:rsidR="008235D9" w:rsidRPr="00EB20DC" w:rsidRDefault="008235D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0DC">
        <w:rPr>
          <w:rFonts w:ascii="Times New Roman" w:hAnsi="Times New Roman" w:cs="Times New Roman"/>
          <w:b/>
          <w:i/>
          <w:sz w:val="24"/>
          <w:szCs w:val="24"/>
        </w:rPr>
        <w:t xml:space="preserve">Зазначте, які помилки припущені в цьому арбітражному застереженні, які наслідки вони можуть викликати. Що таке альтернативне арбітражне застереження. Чи допустимо укладати альтернативне арбітражне застереження. В яких випадках можливий розгляд справи в господарських судах України. Чи застосовуються норми процесуального права України при вирішенні спору </w:t>
      </w:r>
      <w:proofErr w:type="spellStart"/>
      <w:r w:rsidRPr="00EB20DC">
        <w:rPr>
          <w:rFonts w:ascii="Times New Roman" w:hAnsi="Times New Roman" w:cs="Times New Roman"/>
          <w:b/>
          <w:i/>
          <w:sz w:val="24"/>
          <w:szCs w:val="24"/>
        </w:rPr>
        <w:t>МКАСом</w:t>
      </w:r>
      <w:proofErr w:type="spellEnd"/>
      <w:r w:rsidRPr="00EB20DC">
        <w:rPr>
          <w:rFonts w:ascii="Times New Roman" w:hAnsi="Times New Roman" w:cs="Times New Roman"/>
          <w:b/>
          <w:i/>
          <w:sz w:val="24"/>
          <w:szCs w:val="24"/>
        </w:rPr>
        <w:t xml:space="preserve"> при ТПП України. </w:t>
      </w:r>
    </w:p>
    <w:p w:rsidR="008235D9" w:rsidRPr="00EB20DC" w:rsidRDefault="008235D9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8235D9" w:rsidRPr="00EB20DC" w:rsidRDefault="00C503DF" w:rsidP="009B0B6C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EB20DC">
        <w:rPr>
          <w:b/>
          <w:color w:val="000000"/>
        </w:rPr>
        <w:t>Кейс 8</w:t>
      </w:r>
    </w:p>
    <w:p w:rsidR="008235D9" w:rsidRPr="00EB20DC" w:rsidRDefault="008235D9" w:rsidP="009B0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0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Відповідно до домовленості між сторонами склад Арбітражного суду був сформований в кількості 3 –х арбітрів. Фактично спір було розглянуто </w:t>
      </w:r>
      <w:r w:rsidRPr="00EB20DC">
        <w:rPr>
          <w:rFonts w:ascii="Times New Roman" w:hAnsi="Times New Roman" w:cs="Times New Roman"/>
          <w:color w:val="000000"/>
          <w:sz w:val="24"/>
          <w:szCs w:val="24"/>
        </w:rPr>
        <w:t>двома арбітрами, із вказівкою на те, що третій арбітр «був сповіщений, але був відсутній». Компетентний суд скасував арбітражне рішення, ухваливши, що воно «було винесено арбітражем, у якому був відсутній один з його членів і склад якого більше не відповідав угоді сторін, з якого він черпав свою юрисдикцію».</w:t>
      </w:r>
      <w:r w:rsidRPr="00EB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DF" w:rsidRPr="00EB20DC" w:rsidRDefault="008235D9" w:rsidP="009B0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20D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Дайте відповідь, чи правильно вчинив компетентний суд, скасувавши арбітражне рішення. Обґрунтуйте свою відповідь.</w:t>
      </w:r>
    </w:p>
    <w:p w:rsidR="009B0B6C" w:rsidRPr="00EB20DC" w:rsidRDefault="009B0B6C" w:rsidP="009B0B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B6C" w:rsidRDefault="009B0B6C" w:rsidP="009B0B6C">
      <w:pPr>
        <w:tabs>
          <w:tab w:val="left" w:pos="703"/>
        </w:tabs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B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4. Загальні положення й правничі засади </w:t>
      </w:r>
      <w:proofErr w:type="spellStart"/>
      <w:r w:rsidRPr="00EB20D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третейського</w:t>
      </w:r>
      <w:proofErr w:type="spellEnd"/>
      <w:r w:rsidRPr="00EB20D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B20D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судочинства</w:t>
      </w:r>
      <w:proofErr w:type="spellEnd"/>
      <w:r w:rsidRPr="00EB20D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</w:p>
    <w:p w:rsidR="00552AA6" w:rsidRDefault="00F86651" w:rsidP="009B0B6C">
      <w:pPr>
        <w:tabs>
          <w:tab w:val="left" w:pos="703"/>
        </w:tabs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</w:pPr>
      <w:r w:rsidRPr="00F86651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(</w:t>
      </w:r>
      <w:proofErr w:type="spellStart"/>
      <w:r w:rsidRPr="00F86651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питання</w:t>
      </w:r>
      <w:proofErr w:type="spellEnd"/>
      <w:r w:rsidRPr="00F86651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 xml:space="preserve"> для </w:t>
      </w:r>
      <w:proofErr w:type="spellStart"/>
      <w:r w:rsidRPr="00F86651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обговорення</w:t>
      </w:r>
      <w:proofErr w:type="spellEnd"/>
      <w:r w:rsidRPr="00F86651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)</w:t>
      </w:r>
    </w:p>
    <w:p w:rsidR="00F86651" w:rsidRPr="00F86651" w:rsidRDefault="00F86651" w:rsidP="009B0B6C">
      <w:pPr>
        <w:tabs>
          <w:tab w:val="left" w:pos="703"/>
        </w:tabs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</w:pPr>
    </w:p>
    <w:p w:rsidR="00552AA6" w:rsidRPr="00552AA6" w:rsidRDefault="00552AA6" w:rsidP="00552AA6">
      <w:pPr>
        <w:pStyle w:val="a5"/>
        <w:numPr>
          <w:ilvl w:val="0"/>
          <w:numId w:val="6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AA6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Поняття та ознаки, правове регулювання третейського судочинства.</w:t>
      </w:r>
    </w:p>
    <w:p w:rsidR="00552AA6" w:rsidRPr="00552AA6" w:rsidRDefault="00552AA6" w:rsidP="00552AA6">
      <w:pPr>
        <w:pStyle w:val="a5"/>
        <w:numPr>
          <w:ilvl w:val="0"/>
          <w:numId w:val="6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A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Відмінність третейського суду від МКА. </w:t>
      </w:r>
    </w:p>
    <w:p w:rsidR="00552AA6" w:rsidRDefault="00552AA6" w:rsidP="00552AA6">
      <w:pPr>
        <w:pStyle w:val="a5"/>
        <w:numPr>
          <w:ilvl w:val="0"/>
          <w:numId w:val="6"/>
        </w:num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A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Третейські суди в системі цивільного судочинства. </w:t>
      </w:r>
    </w:p>
    <w:p w:rsidR="00F86651" w:rsidRPr="00F86651" w:rsidRDefault="00F86651" w:rsidP="00F86651">
      <w:pPr>
        <w:tabs>
          <w:tab w:val="left" w:pos="7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51" w:rsidRDefault="00F86651" w:rsidP="00F86651">
      <w:pPr>
        <w:pStyle w:val="a5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t>Список нормативно-правових актів та літератури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86651" w:rsidRDefault="00F86651" w:rsidP="00F86651">
      <w:pPr>
        <w:pStyle w:val="a5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p w:rsidR="00F8665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процесуальний кодекс України: в редакції Закону № 2147-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 03.10.2017 року. – ВВР. – 2017. - № 48. Ст. 436.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України «Про третейські суди» від 11.05.2004 року // </w:t>
      </w:r>
      <w:r w:rsidRPr="00046B7C">
        <w:rPr>
          <w:rFonts w:ascii="Times New Roman" w:hAnsi="Times New Roman"/>
          <w:bCs/>
          <w:color w:val="000000"/>
          <w:shd w:val="clear" w:color="auto" w:fill="FFFFFF"/>
        </w:rPr>
        <w:t>ВВР, 2004, № 35, ст.412</w:t>
      </w:r>
      <w:r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Курс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цивільного процесу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акад. України ім. Ярослава Мудрого" ; за ред. В. В. Комарова. – Х. : Право, 2011. – 1352 с. Х629.2я7 / К 93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 І.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Цивільний процес України: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В. І.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Х.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2012. – 424 с. Х629.2 / Т35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процес України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С. О. Погрібний, Р. Ф.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Гонгало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 В. Волкова [та ін.]. – Х. : Одіссей, 2010. – 184 с. Х629.2 / Ц45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 України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«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Одес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акад.» ; за ред.: Р. М.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Мінченко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 В. Андронова. – Х. : Одіссей, 2012. – 496 с.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Рабенко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С. Л.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Третейське судочинство як альтернативна юрисдикційна форма захисту прав суб'єктів господарювання / С. Л.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Часопис Київського університету права. – 2012. – № 2. – С. 362–364.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Сухонос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Історія виникнення третейських судів / В.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Сухонос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Підприємництво,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господарствово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право. – 2011. – № 2. – С. 120–122. 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hAnsi="Times New Roman"/>
        </w:rPr>
        <w:t>Шепель</w:t>
      </w:r>
      <w:proofErr w:type="spellEnd"/>
      <w:r w:rsidRPr="00BB62D1">
        <w:rPr>
          <w:rFonts w:ascii="Times New Roman" w:hAnsi="Times New Roman"/>
        </w:rPr>
        <w:t xml:space="preserve"> Т. П., </w:t>
      </w:r>
      <w:proofErr w:type="spellStart"/>
      <w:r w:rsidRPr="00BB62D1">
        <w:rPr>
          <w:rFonts w:ascii="Times New Roman" w:hAnsi="Times New Roman"/>
        </w:rPr>
        <w:t>Чагін</w:t>
      </w:r>
      <w:proofErr w:type="spellEnd"/>
      <w:r w:rsidRPr="00BB62D1">
        <w:rPr>
          <w:rFonts w:ascii="Times New Roman" w:hAnsi="Times New Roman"/>
        </w:rPr>
        <w:t xml:space="preserve"> С. М., Колотило М. М., </w:t>
      </w:r>
      <w:proofErr w:type="spellStart"/>
      <w:r w:rsidRPr="00BB62D1">
        <w:rPr>
          <w:rFonts w:ascii="Times New Roman" w:hAnsi="Times New Roman"/>
        </w:rPr>
        <w:t>Болтушкіна</w:t>
      </w:r>
      <w:proofErr w:type="spellEnd"/>
      <w:r w:rsidRPr="00BB62D1">
        <w:rPr>
          <w:rFonts w:ascii="Times New Roman" w:hAnsi="Times New Roman"/>
        </w:rPr>
        <w:t xml:space="preserve"> О. В., </w:t>
      </w:r>
      <w:proofErr w:type="spellStart"/>
      <w:r w:rsidRPr="00BB62D1">
        <w:rPr>
          <w:rFonts w:ascii="Times New Roman" w:hAnsi="Times New Roman"/>
        </w:rPr>
        <w:t>Мустафаєва</w:t>
      </w:r>
      <w:proofErr w:type="spellEnd"/>
      <w:r w:rsidRPr="00BB62D1">
        <w:rPr>
          <w:rFonts w:ascii="Times New Roman" w:hAnsi="Times New Roman"/>
        </w:rPr>
        <w:t xml:space="preserve"> М. Д., Харченко Н. М. Третейські суди в Україні: стан розвитку, статистика, практика та перспективи. — Київ, 2018. — 52 с.</w:t>
      </w:r>
    </w:p>
    <w:p w:rsidR="00F86651" w:rsidRPr="00BB62D1" w:rsidRDefault="00F86651" w:rsidP="00F866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Шпенов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Третейські суди в Україні: правова природа та перспективи розвитку / Д.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Шпенов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Вісник Вищого адміністративного суду України. – 2012. – № 2. – С. 23–30.</w:t>
      </w:r>
    </w:p>
    <w:p w:rsidR="00552AA6" w:rsidRPr="00552AA6" w:rsidRDefault="00552AA6" w:rsidP="009B0B6C">
      <w:pPr>
        <w:tabs>
          <w:tab w:val="left" w:pos="703"/>
        </w:tabs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651" w:rsidRDefault="00F86651" w:rsidP="009B0B6C">
      <w:pPr>
        <w:tabs>
          <w:tab w:val="left" w:pos="703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9B0B6C" w:rsidRPr="00F86651" w:rsidRDefault="009B0B6C" w:rsidP="009B0B6C">
      <w:pPr>
        <w:tabs>
          <w:tab w:val="left" w:pos="703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  <w:proofErr w:type="spellStart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lastRenderedPageBreak/>
        <w:t>Завдання</w:t>
      </w:r>
      <w:proofErr w:type="spellEnd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. </w:t>
      </w:r>
      <w:proofErr w:type="spellStart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Вирішіть</w:t>
      </w:r>
      <w:proofErr w:type="spellEnd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кейси</w:t>
      </w:r>
      <w:proofErr w:type="spellEnd"/>
      <w:r w:rsidRPr="00F86651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.</w:t>
      </w:r>
    </w:p>
    <w:p w:rsidR="009B0B6C" w:rsidRPr="00EB20DC" w:rsidRDefault="009B0B6C" w:rsidP="009B0B6C">
      <w:pPr>
        <w:tabs>
          <w:tab w:val="left" w:pos="703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B20DC">
        <w:rPr>
          <w:b/>
          <w:color w:val="000000"/>
        </w:rPr>
        <w:t>Кейс 1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B20DC">
        <w:rPr>
          <w:color w:val="000000"/>
        </w:rPr>
        <w:t>Між М. та С. було укладено договір позики. Оскільки С. не було виконано свої зобов’язання щодо своєчасного повернення отриманих грошей, М. звернувся до третейського суду з позовною заявою про стягнення суми заборгованості. Компетенція третейського суду була визначена у договорі позики, який був посвідчений нотаріально. Третейський суд позов задовольнив.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B20DC">
        <w:rPr>
          <w:b/>
          <w:i/>
          <w:color w:val="000000"/>
        </w:rPr>
        <w:t>Чи може С. оскаржити рішення третейського суду?</w:t>
      </w:r>
    </w:p>
    <w:p w:rsidR="002112A9" w:rsidRPr="00EB20DC" w:rsidRDefault="002112A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B20DC">
        <w:rPr>
          <w:b/>
          <w:color w:val="000000"/>
        </w:rPr>
        <w:t>Кейс 2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B20DC">
        <w:rPr>
          <w:color w:val="000000"/>
        </w:rPr>
        <w:t>Гр. Б. звернулася до третейського суду з вимогою про стягнення з гр. А. аліментів на утримання їхнього сина. У своїй заяві вона посилалася на умови шлюбного контракту відповідно до яких у разі розірвання шлюбу, батько зобов’язаний сплачувати 5000 грн. щомісячно на утримання дитини до досягнення нею 21 річного віку.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B20DC">
        <w:rPr>
          <w:color w:val="000000"/>
        </w:rPr>
        <w:t>Суд відмовив у прийнятті заяви з тієї підставі, що сімейні спори не є предметом розгляду в третейському суді.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  <w:r w:rsidRPr="00EB20DC">
        <w:rPr>
          <w:b/>
          <w:i/>
          <w:iCs/>
          <w:color w:val="000000"/>
        </w:rPr>
        <w:t>Чи правомірною є така відмови? Чи може дана ухвала бути оскаржена?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B20DC">
        <w:rPr>
          <w:b/>
          <w:color w:val="000000"/>
        </w:rPr>
        <w:t>Кейс 3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</w:pPr>
      <w:r w:rsidRPr="00EB20DC">
        <w:t xml:space="preserve">Гр. А. продала свій будинок, який знаходився у </w:t>
      </w:r>
      <w:proofErr w:type="spellStart"/>
      <w:r w:rsidRPr="00EB20DC">
        <w:t>м.Полтава</w:t>
      </w:r>
      <w:proofErr w:type="spellEnd"/>
      <w:r w:rsidRPr="00EB20DC">
        <w:t xml:space="preserve">, та виїхала на батьківщину до м. Тернопіль на постійне проживання. Під час розрахунку за будинок гр-н М. не додав гр. А. частину коштів і видав розписку про погашення боргу протягом 4 місяців. Зайнявши із сім'єю будинок, гр-н М. виїхав у довгострокове відрядження до </w:t>
      </w:r>
      <w:proofErr w:type="spellStart"/>
      <w:r w:rsidRPr="00EB20DC">
        <w:t>м.Києва</w:t>
      </w:r>
      <w:proofErr w:type="spellEnd"/>
      <w:r w:rsidRPr="00EB20DC">
        <w:t>. Після закінчення терміну сплати боргу гр. А. вирішила звернутися до Третейського суду з позовом про стягнення з гр-на М. заборгованої суми.</w:t>
      </w:r>
    </w:p>
    <w:p w:rsidR="002112A9" w:rsidRPr="00EB20DC" w:rsidRDefault="002112A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0DC">
        <w:rPr>
          <w:rFonts w:ascii="Times New Roman" w:hAnsi="Times New Roman" w:cs="Times New Roman"/>
          <w:b/>
          <w:i/>
          <w:sz w:val="24"/>
          <w:szCs w:val="24"/>
        </w:rPr>
        <w:t>Чи буде даний спір предметом розгляду в третейському суді? Чи змінилася б ситуація, якщо б сторони обумовили в договорі купівлі-продажу будинку вирішення спору в порядку третейського судочинства?</w:t>
      </w:r>
    </w:p>
    <w:p w:rsidR="002112A9" w:rsidRPr="00EB20DC" w:rsidRDefault="002112A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B20DC">
        <w:rPr>
          <w:b/>
          <w:color w:val="000000"/>
        </w:rPr>
        <w:t>Кейс 4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B20DC">
        <w:rPr>
          <w:rFonts w:eastAsiaTheme="minorHAnsi"/>
          <w:lang w:eastAsia="en-US"/>
        </w:rPr>
        <w:t>Між польським АТ “</w:t>
      </w:r>
      <w:proofErr w:type="spellStart"/>
      <w:r w:rsidRPr="00EB20DC">
        <w:rPr>
          <w:rFonts w:eastAsiaTheme="minorHAnsi"/>
          <w:lang w:eastAsia="en-US"/>
        </w:rPr>
        <w:t>Оптіма</w:t>
      </w:r>
      <w:proofErr w:type="spellEnd"/>
      <w:r w:rsidRPr="00EB20DC">
        <w:rPr>
          <w:rFonts w:eastAsiaTheme="minorHAnsi"/>
          <w:lang w:eastAsia="en-US"/>
        </w:rPr>
        <w:t>” та ТОВ “</w:t>
      </w:r>
      <w:proofErr w:type="spellStart"/>
      <w:r w:rsidRPr="00EB20DC">
        <w:rPr>
          <w:rFonts w:eastAsiaTheme="minorHAnsi"/>
          <w:lang w:eastAsia="en-US"/>
        </w:rPr>
        <w:t>Тракторімпорт</w:t>
      </w:r>
      <w:proofErr w:type="spellEnd"/>
      <w:r w:rsidRPr="00EB20DC">
        <w:rPr>
          <w:rFonts w:eastAsiaTheme="minorHAnsi"/>
          <w:lang w:eastAsia="en-US"/>
        </w:rPr>
        <w:t>” було укладено договір купівлі-продажу 15 тракторів. У договорі сторони зазначили, що всі спори, що виникають з приводу виконання договору, підлягають розгляду в третейському суді при Львівській Торгово-промисловій палаті обл. згідно з Законом України “Про третейські суди”.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i/>
          <w:lang w:eastAsia="en-US"/>
        </w:rPr>
      </w:pPr>
      <w:r w:rsidRPr="00EB20DC">
        <w:rPr>
          <w:rFonts w:eastAsiaTheme="minorHAnsi"/>
          <w:b/>
          <w:i/>
          <w:lang w:eastAsia="en-US"/>
        </w:rPr>
        <w:t>Чи відповідає таке третейське застереження вимогам закону?</w:t>
      </w:r>
    </w:p>
    <w:p w:rsidR="002112A9" w:rsidRPr="00EB20DC" w:rsidRDefault="002112A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B20DC">
        <w:rPr>
          <w:b/>
          <w:color w:val="000000"/>
        </w:rPr>
        <w:t>Кейс 5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B20DC">
        <w:rPr>
          <w:rFonts w:eastAsiaTheme="minorHAnsi"/>
          <w:lang w:eastAsia="en-US"/>
        </w:rPr>
        <w:t xml:space="preserve">Б. звернувся до </w:t>
      </w:r>
      <w:proofErr w:type="spellStart"/>
      <w:r w:rsidRPr="00EB20DC">
        <w:rPr>
          <w:rFonts w:eastAsiaTheme="minorHAnsi"/>
          <w:lang w:eastAsia="en-US"/>
        </w:rPr>
        <w:t>Полтаської</w:t>
      </w:r>
      <w:proofErr w:type="spellEnd"/>
      <w:r w:rsidRPr="00EB20DC">
        <w:rPr>
          <w:rFonts w:eastAsiaTheme="minorHAnsi"/>
          <w:lang w:eastAsia="en-US"/>
        </w:rPr>
        <w:t xml:space="preserve"> філії “Приватбанк” з метою отримання кредиту на придбання автомобіля. Банк погодився надати йому кредит, але запропонував у кредитному договорі зробити третейське застереження, згідно з яким всі спори, що виникають з приводу виконання та розірвання кредитного договору, підлягають вирішенню у третейському суді.</w:t>
      </w:r>
    </w:p>
    <w:p w:rsidR="002112A9" w:rsidRPr="00EB20DC" w:rsidRDefault="002112A9" w:rsidP="009B0B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i/>
          <w:lang w:eastAsia="en-US"/>
        </w:rPr>
      </w:pPr>
      <w:r w:rsidRPr="00EB20DC">
        <w:rPr>
          <w:rFonts w:eastAsiaTheme="minorHAnsi"/>
          <w:b/>
          <w:i/>
          <w:lang w:eastAsia="en-US"/>
        </w:rPr>
        <w:t>Чи можуть Б. та банк передбачити можливість розгляду таких спорів у третейському суді? Як оформлюється третейське застереження?</w:t>
      </w:r>
    </w:p>
    <w:p w:rsidR="009B0B6C" w:rsidRPr="00EB20DC" w:rsidRDefault="009B0B6C" w:rsidP="009B0B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i/>
          <w:lang w:eastAsia="en-US"/>
        </w:rPr>
      </w:pPr>
    </w:p>
    <w:p w:rsidR="009B0B6C" w:rsidRPr="00653A1B" w:rsidRDefault="009B0B6C" w:rsidP="000F52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A1B">
        <w:rPr>
          <w:rFonts w:ascii="Times New Roman" w:hAnsi="Times New Roman"/>
          <w:b/>
          <w:sz w:val="24"/>
          <w:szCs w:val="24"/>
        </w:rPr>
        <w:t>Тема 5. Медіація в системі АВС.</w:t>
      </w:r>
    </w:p>
    <w:p w:rsidR="00F86651" w:rsidRPr="00F86651" w:rsidRDefault="00F86651" w:rsidP="00F866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6651">
        <w:rPr>
          <w:rFonts w:ascii="Times New Roman" w:hAnsi="Times New Roman"/>
          <w:b/>
          <w:sz w:val="24"/>
          <w:szCs w:val="24"/>
        </w:rPr>
        <w:t>(питання для обговорення)</w:t>
      </w:r>
    </w:p>
    <w:p w:rsidR="00F86651" w:rsidRPr="0083237C" w:rsidRDefault="00F86651" w:rsidP="00F866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7C">
        <w:rPr>
          <w:rFonts w:ascii="Times New Roman" w:hAnsi="Times New Roman"/>
          <w:sz w:val="24"/>
          <w:szCs w:val="24"/>
        </w:rPr>
        <w:t xml:space="preserve">Підходи до визначення правової природи посередництва як виду АВС, ознаки посередництва. </w:t>
      </w:r>
      <w:proofErr w:type="spellStart"/>
      <w:r w:rsidRPr="0083237C">
        <w:rPr>
          <w:rFonts w:ascii="Times New Roman" w:hAnsi="Times New Roman"/>
          <w:sz w:val="24"/>
          <w:szCs w:val="24"/>
        </w:rPr>
        <w:t>Консиліація</w:t>
      </w:r>
      <w:proofErr w:type="spellEnd"/>
      <w:r w:rsidRPr="0083237C">
        <w:rPr>
          <w:rFonts w:ascii="Times New Roman" w:hAnsi="Times New Roman"/>
          <w:sz w:val="24"/>
          <w:szCs w:val="24"/>
        </w:rPr>
        <w:t xml:space="preserve"> та медіація. </w:t>
      </w:r>
    </w:p>
    <w:p w:rsidR="00F86651" w:rsidRDefault="00F86651" w:rsidP="00F866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7C">
        <w:rPr>
          <w:rFonts w:ascii="Times New Roman" w:hAnsi="Times New Roman"/>
          <w:sz w:val="24"/>
          <w:szCs w:val="24"/>
        </w:rPr>
        <w:t xml:space="preserve">Поняття, ознаки, правове регулювання медіації. </w:t>
      </w:r>
    </w:p>
    <w:p w:rsidR="00F86651" w:rsidRDefault="00F86651" w:rsidP="00F866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7C">
        <w:rPr>
          <w:rFonts w:ascii="Times New Roman" w:hAnsi="Times New Roman"/>
          <w:sz w:val="24"/>
          <w:szCs w:val="24"/>
        </w:rPr>
        <w:t>Моделі (види) медіації.</w:t>
      </w:r>
    </w:p>
    <w:p w:rsidR="00F86651" w:rsidRDefault="00F86651" w:rsidP="00F866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37C">
        <w:rPr>
          <w:rFonts w:ascii="Times New Roman" w:hAnsi="Times New Roman"/>
          <w:sz w:val="24"/>
          <w:szCs w:val="24"/>
        </w:rPr>
        <w:t>Медіаційні</w:t>
      </w:r>
      <w:proofErr w:type="spellEnd"/>
      <w:r w:rsidRPr="0083237C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83237C">
        <w:rPr>
          <w:rFonts w:ascii="Times New Roman" w:hAnsi="Times New Roman"/>
          <w:sz w:val="24"/>
          <w:szCs w:val="24"/>
        </w:rPr>
        <w:t>медіаційні</w:t>
      </w:r>
      <w:proofErr w:type="spellEnd"/>
      <w:r w:rsidRPr="0083237C">
        <w:rPr>
          <w:rFonts w:ascii="Times New Roman" w:hAnsi="Times New Roman"/>
          <w:sz w:val="24"/>
          <w:szCs w:val="24"/>
        </w:rPr>
        <w:t xml:space="preserve"> процедури.</w:t>
      </w:r>
    </w:p>
    <w:p w:rsidR="00F86651" w:rsidRDefault="00F86651" w:rsidP="00F86651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</w:p>
    <w:p w:rsidR="00F86651" w:rsidRDefault="00F86651" w:rsidP="00F86651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</w:p>
    <w:p w:rsidR="00F86651" w:rsidRDefault="00F86651" w:rsidP="00F86651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lastRenderedPageBreak/>
        <w:t>Список нормативно-правових актів та літератури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Курс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цивільного процесу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акад. України ім. Ярослава Мудрого" ; за ред. В. В. Комарова. – Х. : Право, 2011. – 1352 с. Х629.2я7 / К 93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 І.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Цивільний процес України: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В. І.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Х.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2012. – 424 с. Х629.2 / Т35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процес України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С. О. Погрібний, Р. Ф.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Гонгало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 В. Волкова [та ін.]. – Х. : Одіссей, 2010. – 184 с. Х629.2 / Ц45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 України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«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Одес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акад.» ; за ред.: Р. М.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Мінченко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 В. Андронова. – Х. : Одіссей, 2012. – 496 с.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Абрамов 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Така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суперечлива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медіація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2015. – 18 серп. (№ 32-33). – С. 42–43.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Бідний Є.,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Павленчик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Хто не домовляється – той платить, або іноземний досвід медіації / Є. Бідний, М.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Павленчик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2016. – 15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22-23.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Горбань Н.С. Про переваги медіації та мирової угоди у виконавчому провадженні / Н.С. Горбань // Держава і право, 2018.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82. – С. 121-133.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Принципи медіації у приватно-правових відносинах /С.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Юридичний журнал,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спецю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випуск, № 7-8 (145-146) //. – С. 70-75.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С.Т. Стадії медіації / С.Т.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Держава і право, 2017.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76. – С. 191-201.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Запара С.І.,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Виглазова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М.В., Коломієць І.С. Становлення інституту медіації в Україні / С.І. Запара, М.В.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Виглазова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І.С. Коломієць // Часопис Київського університету права. – 2016. - № 4. – С. 146-149.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Калинская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медиация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альтернатива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принудительному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исполнению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решений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украинская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модель / И.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2013. – 23 квіт. (№ 17). – С. 36–37.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«За» і «проти» арбітражу та медіації / Х.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2015. – 17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20.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Н.А. Медіація в Україні як соціальний та правовий інститут / Н.А.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Часопис Київського університету права. – 2018. - № 3. – С. 169-173.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 Загальна характеристика договорів, що укладаються у сфері медіації / Н.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// Підприємництво, господарство і право. – 2018. - № 2. – С. 171-174.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Медіація у професійній діяльності юриста : підручник /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авт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.: Т. Білик, Р. Гаврилюк, І.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Городиський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[та ін.] ; за ред. Н.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Крестовської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Л.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Романадзе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Одеса : Екологія, 2019. — 456 с. :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ISBN 978-617-7046-89-8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Проценко Д.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Допустимість медіації в цивільних, господарських, адміністративних і трудових спорах / Д. Проценко // Юридичний журнал. – 2013. – № 6/7. – С. 102–107.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Репіна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 Медіація 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VS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традиційні способи вирішення спорів / Ю.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Репіна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газета, 2017. - № 28-29. – С. 34-35.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Рєзнікова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Медіація (посередництво) як спосіб вирішення господарських спорів / В.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Рєзнікова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Вісник Київського національного університету ім. Т. Шевченка. Юридичні науки. – К., 2012.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90. – С. 10–15. Я54 / К 38</w:t>
      </w:r>
    </w:p>
    <w:p w:rsidR="00F86651" w:rsidRPr="00BB62D1" w:rsidRDefault="00F86651" w:rsidP="00F866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С.Я.,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Є.І. Врегулювання спору за участі судді – новий зміст медіації / С.Я.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Є.І.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Часопис Київського університету права, 2017. - № 2. – С. 97 -101.</w:t>
      </w:r>
    </w:p>
    <w:p w:rsidR="00F86651" w:rsidRPr="00EB20DC" w:rsidRDefault="00F86651" w:rsidP="000F52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52CE" w:rsidRDefault="000F52CE" w:rsidP="000F52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53A1B" w:rsidRPr="00EB20DC" w:rsidRDefault="00653A1B" w:rsidP="000F52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B0B6C" w:rsidRPr="00653A1B" w:rsidRDefault="009B0B6C" w:rsidP="000F52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A1B">
        <w:rPr>
          <w:rFonts w:ascii="Times New Roman" w:hAnsi="Times New Roman"/>
          <w:b/>
          <w:sz w:val="24"/>
          <w:szCs w:val="24"/>
        </w:rPr>
        <w:lastRenderedPageBreak/>
        <w:t xml:space="preserve">Тема 6. Порядок здійснення </w:t>
      </w:r>
      <w:proofErr w:type="spellStart"/>
      <w:r w:rsidRPr="00653A1B">
        <w:rPr>
          <w:rFonts w:ascii="Times New Roman" w:hAnsi="Times New Roman"/>
          <w:b/>
          <w:sz w:val="24"/>
          <w:szCs w:val="24"/>
        </w:rPr>
        <w:t>медіаційної</w:t>
      </w:r>
      <w:proofErr w:type="spellEnd"/>
      <w:r w:rsidRPr="00653A1B">
        <w:rPr>
          <w:rFonts w:ascii="Times New Roman" w:hAnsi="Times New Roman"/>
          <w:b/>
          <w:sz w:val="24"/>
          <w:szCs w:val="24"/>
        </w:rPr>
        <w:t xml:space="preserve"> процедури.</w:t>
      </w:r>
    </w:p>
    <w:p w:rsidR="00F86651" w:rsidRPr="00F86651" w:rsidRDefault="00F86651" w:rsidP="00F866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6651">
        <w:rPr>
          <w:rFonts w:ascii="Times New Roman" w:hAnsi="Times New Roman"/>
          <w:b/>
          <w:sz w:val="24"/>
          <w:szCs w:val="24"/>
        </w:rPr>
        <w:t>(питання для обговорення)</w:t>
      </w:r>
    </w:p>
    <w:p w:rsidR="00F86651" w:rsidRPr="00F86651" w:rsidRDefault="00F86651" w:rsidP="00F866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651">
        <w:rPr>
          <w:rFonts w:ascii="Times New Roman" w:hAnsi="Times New Roman"/>
          <w:sz w:val="24"/>
          <w:szCs w:val="24"/>
        </w:rPr>
        <w:t xml:space="preserve">Правовий статус медіатора. </w:t>
      </w:r>
    </w:p>
    <w:p w:rsidR="00F86651" w:rsidRPr="00F86651" w:rsidRDefault="00F86651" w:rsidP="00F866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651">
        <w:rPr>
          <w:rFonts w:ascii="Times New Roman" w:hAnsi="Times New Roman"/>
          <w:sz w:val="24"/>
          <w:szCs w:val="24"/>
        </w:rPr>
        <w:t xml:space="preserve">Принципи медіації. </w:t>
      </w:r>
    </w:p>
    <w:p w:rsidR="00F86651" w:rsidRPr="00F86651" w:rsidRDefault="00F86651" w:rsidP="00F866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651">
        <w:rPr>
          <w:rFonts w:ascii="Times New Roman" w:hAnsi="Times New Roman"/>
          <w:sz w:val="24"/>
          <w:szCs w:val="24"/>
        </w:rPr>
        <w:t xml:space="preserve">Етапи та стадії медіації. Обставини, які виключають медіацію. </w:t>
      </w:r>
    </w:p>
    <w:p w:rsidR="00F86651" w:rsidRPr="00F86651" w:rsidRDefault="00F86651" w:rsidP="00F866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651">
        <w:rPr>
          <w:rFonts w:ascii="Times New Roman" w:hAnsi="Times New Roman"/>
          <w:sz w:val="24"/>
          <w:szCs w:val="24"/>
        </w:rPr>
        <w:t xml:space="preserve">Порядок укладення </w:t>
      </w:r>
      <w:proofErr w:type="spellStart"/>
      <w:r w:rsidRPr="00F86651">
        <w:rPr>
          <w:rFonts w:ascii="Times New Roman" w:hAnsi="Times New Roman"/>
          <w:sz w:val="24"/>
          <w:szCs w:val="24"/>
        </w:rPr>
        <w:t>медіаційної</w:t>
      </w:r>
      <w:proofErr w:type="spellEnd"/>
      <w:r w:rsidRPr="00F86651">
        <w:rPr>
          <w:rFonts w:ascii="Times New Roman" w:hAnsi="Times New Roman"/>
          <w:sz w:val="24"/>
          <w:szCs w:val="24"/>
        </w:rPr>
        <w:t xml:space="preserve"> угоди. </w:t>
      </w:r>
    </w:p>
    <w:p w:rsidR="00F86651" w:rsidRDefault="00F86651" w:rsidP="00F866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651">
        <w:rPr>
          <w:rFonts w:ascii="Times New Roman" w:hAnsi="Times New Roman"/>
          <w:sz w:val="24"/>
          <w:szCs w:val="24"/>
        </w:rPr>
        <w:t xml:space="preserve">Проблеми правове регулювання медіації в Україні. </w:t>
      </w:r>
    </w:p>
    <w:p w:rsidR="00F86651" w:rsidRDefault="00F86651" w:rsidP="00F86651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</w:p>
    <w:p w:rsidR="00F86651" w:rsidRDefault="00F86651" w:rsidP="00F86651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t>Список нормативно-правових актів та літератури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86651" w:rsidRDefault="00F86651" w:rsidP="00F86651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Курс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цивільного процесу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акад. України ім. Ярослава Мудрого" ; за ред. В. В. Комарова. – Х. : Право, 2011. – 1352 с. Х629.2я7 / К 93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 І.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Цивільний процес України: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В. І.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Тертишніков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Х.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2012. – 424 с. Х629.2 / Т35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процес України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посіб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С. О. Погрібний, Р. Ф.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Гонгало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 В. Волкова [та ін.]. – Х. : Одіссей, 2010. – 184 с. Х629.2 / Ц45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Цивільний 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 України : підручник /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ун-т «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Одес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акад.» ; за ред.: Р. М.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Мінченко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 В. Андронова. – Х. : Одіссей, 2012. – 496 с.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Абрамов 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Така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суперечлива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медіація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2015. – 18 серп. (№ 32-33). – С. 42–43.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Бідний Є.,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Павленчик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Хто не домовляється – той платить, або іноземний досвід медіації / Є. Бідний, М.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Павленчик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2016. – 15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22-23.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Горбань Н.С. Про переваги медіації та мирової угоди у виконавчому провадженні / Н.С. Горбань // Держава і право, 2018.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82. – С. 121-133.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Принципи медіації у приватно-правових відносинах /С.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Юридичний журнал,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спецю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випуск, № 7-8 (145-146) //. – С. 70-75.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С.Т. Стадії медіації / С.Т.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Йосипенко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Держава і право, 2017.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76. – С. 191-201.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Запара С.І.,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Виглазова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М.В., Коломієць І.С. Становлення інституту медіації в Україні / С.І. Запара, М.В.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Виглазова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І.С. Коломієць // Часопис Київського університету права. – 2016. - № 4. – С. 146-149.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Калинская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медиация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альтернатива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принудительному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исполнению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решений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украинская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модель / И.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Калинская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2013. – 23 квіт. (№ 17). – С. 36–37.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«За» і «проти» арбітражу та медіації / Х.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Костюшко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газета. – 2015. – 17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20.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Н.А. Медіація в Україні як соціальний та правовий інститут / Н.А.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Часопис Київського університету права. – 2018. - № 3. – С. 169-173.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 Загальна характеристика договорів, що укладаються у сфері медіації / Н.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Мазаракі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// Підприємництво, господарство і право. – 2018. - № 2. – С. 171-174.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Медіація у професійній діяльності юриста : підручник /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авт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.: Т. Білик, Р. Гаврилюк, І.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Городиський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[та ін.] ; за ред. Н.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Крестовської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Л.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Романадзе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Одеса : Екологія, 2019. — 456 с. :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ISBN 978-617-7046-89-8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Проценко Д.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Допустимість медіації в цивільних, господарських, адміністративних і трудових спорах / Д. Проценко // Юридичний журнал. – 2013. – № 6/7. – С. 102–107.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Репіна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 Медіація 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VS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традиційні способи вирішення спорів / Ю.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Репіна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Юридична газета, 2017. - № 28-29. – С. 34-35.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Рєзнікова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</w:t>
      </w:r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Медіація (посередництво) як спосіб вирішення господарських спорів / В.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Рєзнікова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Вісник Київського національного університету ім. Т. Шевченка. Юридичні науки. – К., 2012. –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90. – С. 10–15. Я54 / К 38</w:t>
      </w:r>
    </w:p>
    <w:p w:rsidR="00F86651" w:rsidRPr="00BB62D1" w:rsidRDefault="00F86651" w:rsidP="00F8665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С.Я.,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Є.І. Врегулювання спору за участі судді – новий зміст медіації / С.Я.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Є.І. </w:t>
      </w:r>
      <w:proofErr w:type="spellStart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Фурса</w:t>
      </w:r>
      <w:proofErr w:type="spellEnd"/>
      <w:r w:rsidRPr="00BB6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Часопис Київського університету права, 2017. - № 2. – С. 97 -101.</w:t>
      </w:r>
    </w:p>
    <w:p w:rsidR="00F86651" w:rsidRPr="0073167D" w:rsidRDefault="00F86651" w:rsidP="00F86651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B0B6C" w:rsidRDefault="009B0B6C" w:rsidP="000F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A1B">
        <w:rPr>
          <w:rFonts w:ascii="Times New Roman" w:hAnsi="Times New Roman"/>
          <w:b/>
          <w:sz w:val="24"/>
          <w:szCs w:val="24"/>
        </w:rPr>
        <w:t>Тема 7. Правова характеристика інших способів альтернативного розгляду цивільних справ.</w:t>
      </w:r>
      <w:r w:rsidRPr="00EB20DC">
        <w:rPr>
          <w:rFonts w:ascii="Times New Roman" w:hAnsi="Times New Roman"/>
          <w:sz w:val="24"/>
          <w:szCs w:val="24"/>
        </w:rPr>
        <w:t xml:space="preserve"> </w:t>
      </w:r>
    </w:p>
    <w:p w:rsidR="00F86651" w:rsidRPr="00EB20DC" w:rsidRDefault="00F86651" w:rsidP="00F866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(питання для обговорення)</w:t>
      </w:r>
    </w:p>
    <w:p w:rsidR="00F86651" w:rsidRDefault="00F86651" w:rsidP="00F8665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D">
        <w:rPr>
          <w:rFonts w:ascii="Times New Roman" w:hAnsi="Times New Roman"/>
          <w:sz w:val="24"/>
          <w:szCs w:val="24"/>
        </w:rPr>
        <w:t xml:space="preserve">Правова природа переговорів. </w:t>
      </w:r>
    </w:p>
    <w:p w:rsidR="00F86651" w:rsidRDefault="00F86651" w:rsidP="00F8665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D">
        <w:rPr>
          <w:rFonts w:ascii="Times New Roman" w:hAnsi="Times New Roman"/>
          <w:sz w:val="24"/>
          <w:szCs w:val="24"/>
        </w:rPr>
        <w:t>Змішані способи вирішення спорів: переговори-арбітраж (</w:t>
      </w:r>
      <w:proofErr w:type="spellStart"/>
      <w:r w:rsidRPr="0073167D">
        <w:rPr>
          <w:rFonts w:ascii="Times New Roman" w:hAnsi="Times New Roman"/>
          <w:sz w:val="24"/>
          <w:szCs w:val="24"/>
        </w:rPr>
        <w:t>negotiation-arbitration</w:t>
      </w:r>
      <w:proofErr w:type="spellEnd"/>
      <w:r w:rsidRPr="0073167D">
        <w:rPr>
          <w:rFonts w:ascii="Times New Roman" w:hAnsi="Times New Roman"/>
          <w:sz w:val="24"/>
          <w:szCs w:val="24"/>
        </w:rPr>
        <w:t>) або медіація-арбітраж (</w:t>
      </w:r>
      <w:proofErr w:type="spellStart"/>
      <w:r w:rsidRPr="0073167D">
        <w:rPr>
          <w:rFonts w:ascii="Times New Roman" w:hAnsi="Times New Roman"/>
          <w:sz w:val="24"/>
          <w:szCs w:val="24"/>
        </w:rPr>
        <w:t>mediation-arbitration</w:t>
      </w:r>
      <w:proofErr w:type="spellEnd"/>
      <w:r w:rsidRPr="0073167D">
        <w:rPr>
          <w:rFonts w:ascii="Times New Roman" w:hAnsi="Times New Roman"/>
          <w:sz w:val="24"/>
          <w:szCs w:val="24"/>
        </w:rPr>
        <w:t xml:space="preserve">). </w:t>
      </w:r>
    </w:p>
    <w:p w:rsidR="00F86651" w:rsidRDefault="00F86651" w:rsidP="00F8665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D">
        <w:rPr>
          <w:rFonts w:ascii="Times New Roman" w:hAnsi="Times New Roman"/>
          <w:sz w:val="24"/>
          <w:szCs w:val="24"/>
        </w:rPr>
        <w:t xml:space="preserve">Інститут омбудсмена в системі АВС. </w:t>
      </w:r>
    </w:p>
    <w:p w:rsidR="00F86651" w:rsidRDefault="00F86651" w:rsidP="00F8665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D">
        <w:rPr>
          <w:rFonts w:ascii="Times New Roman" w:hAnsi="Times New Roman"/>
          <w:sz w:val="24"/>
          <w:szCs w:val="24"/>
        </w:rPr>
        <w:t>Методи врегулювання спорів (конфліктів) із застосуванням інтернет-технологій.</w:t>
      </w:r>
    </w:p>
    <w:p w:rsidR="00704642" w:rsidRDefault="00704642" w:rsidP="00704642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</w:p>
    <w:p w:rsidR="00704642" w:rsidRDefault="00704642" w:rsidP="00704642">
      <w:pPr>
        <w:pStyle w:val="a5"/>
        <w:ind w:left="1068"/>
        <w:jc w:val="center"/>
        <w:rPr>
          <w:rFonts w:ascii="Times New Roman" w:hAnsi="Times New Roman"/>
          <w:i/>
          <w:sz w:val="24"/>
          <w:szCs w:val="24"/>
        </w:rPr>
      </w:pPr>
      <w:r w:rsidRPr="00FE7B05">
        <w:rPr>
          <w:rFonts w:ascii="Times New Roman" w:hAnsi="Times New Roman"/>
          <w:i/>
          <w:sz w:val="24"/>
          <w:szCs w:val="24"/>
        </w:rPr>
        <w:t>Список нормативно-правових актів та літератури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86651" w:rsidRDefault="00F86651" w:rsidP="00F8665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Альтернативні способи вирішення правових спорів: теоретико-правовий аспект [Текст] :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автореф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дис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...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канд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наук : 12.00.01 / Любченко Ярослав Павлович ;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Нац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юрид</w:t>
      </w:r>
      <w:proofErr w:type="spellEnd"/>
      <w:r w:rsidRPr="00BB62D1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. ун-т ім. Ярослава Мудрого. - Харків, 2018. - 20 с.</w:t>
      </w:r>
    </w:p>
    <w:p w:rsidR="00F86651" w:rsidRPr="00BB62D1" w:rsidRDefault="00F86651" w:rsidP="00F8665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Медіація у професійній діяльності юриста : підручник /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авт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.: Т. Білик, Р. Гаврилюк, І.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Городиський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[та ін.] ; за ред. Н.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Крестовської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Л.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Романадзе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Одеса : Екологія, 2019. — 456 с. : </w:t>
      </w:r>
      <w:proofErr w:type="spellStart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іл</w:t>
      </w:r>
      <w:proofErr w:type="spellEnd"/>
      <w:r w:rsidRPr="00BB6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ISBN 978-617-7046-89-8</w:t>
      </w:r>
    </w:p>
    <w:p w:rsidR="002112A9" w:rsidRPr="00EB20DC" w:rsidRDefault="002112A9" w:rsidP="009B0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112A9" w:rsidRPr="00EB2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E31"/>
    <w:multiLevelType w:val="hybridMultilevel"/>
    <w:tmpl w:val="20EA3B92"/>
    <w:lvl w:ilvl="0" w:tplc="170A2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C5A47"/>
    <w:multiLevelType w:val="hybridMultilevel"/>
    <w:tmpl w:val="CC846948"/>
    <w:lvl w:ilvl="0" w:tplc="E74868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3BA7228"/>
    <w:multiLevelType w:val="hybridMultilevel"/>
    <w:tmpl w:val="16A8B282"/>
    <w:lvl w:ilvl="0" w:tplc="B2D2A99A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54B52"/>
    <w:multiLevelType w:val="multilevel"/>
    <w:tmpl w:val="4510F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875" w:hanging="1515"/>
      </w:pPr>
      <w:rPr>
        <w:rFonts w:hint="default"/>
      </w:rPr>
    </w:lvl>
    <w:lvl w:ilvl="2">
      <w:start w:val="2002"/>
      <w:numFmt w:val="decimal"/>
      <w:isLgl/>
      <w:lvlText w:val="%1.%2.%3"/>
      <w:lvlJc w:val="left"/>
      <w:pPr>
        <w:ind w:left="1875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C218D7"/>
    <w:multiLevelType w:val="hybridMultilevel"/>
    <w:tmpl w:val="7E1C6BEE"/>
    <w:lvl w:ilvl="0" w:tplc="59962D3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4376975"/>
    <w:multiLevelType w:val="hybridMultilevel"/>
    <w:tmpl w:val="06984F7A"/>
    <w:lvl w:ilvl="0" w:tplc="0E2CF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C6E1A60"/>
    <w:multiLevelType w:val="hybridMultilevel"/>
    <w:tmpl w:val="8D64AF98"/>
    <w:lvl w:ilvl="0" w:tplc="E9EE102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466E1E16"/>
    <w:multiLevelType w:val="hybridMultilevel"/>
    <w:tmpl w:val="E7706CE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6877B3D"/>
    <w:multiLevelType w:val="hybridMultilevel"/>
    <w:tmpl w:val="A7866730"/>
    <w:lvl w:ilvl="0" w:tplc="15CA5B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950711"/>
    <w:multiLevelType w:val="hybridMultilevel"/>
    <w:tmpl w:val="A5B223D0"/>
    <w:lvl w:ilvl="0" w:tplc="14426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51C3D8F"/>
    <w:multiLevelType w:val="hybridMultilevel"/>
    <w:tmpl w:val="56A6BA3E"/>
    <w:lvl w:ilvl="0" w:tplc="03183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4B4227"/>
    <w:multiLevelType w:val="hybridMultilevel"/>
    <w:tmpl w:val="812C1C1E"/>
    <w:lvl w:ilvl="0" w:tplc="6CD815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F44E43"/>
    <w:multiLevelType w:val="hybridMultilevel"/>
    <w:tmpl w:val="1CBC9A18"/>
    <w:lvl w:ilvl="0" w:tplc="F53A4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30A5"/>
    <w:multiLevelType w:val="hybridMultilevel"/>
    <w:tmpl w:val="D12648AA"/>
    <w:lvl w:ilvl="0" w:tplc="6ED6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3A37FA"/>
    <w:multiLevelType w:val="hybridMultilevel"/>
    <w:tmpl w:val="F1921F7A"/>
    <w:lvl w:ilvl="0" w:tplc="AE601FE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7DB60A34"/>
    <w:multiLevelType w:val="hybridMultilevel"/>
    <w:tmpl w:val="4B94BC3C"/>
    <w:lvl w:ilvl="0" w:tplc="A0E2A3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710486"/>
    <w:multiLevelType w:val="hybridMultilevel"/>
    <w:tmpl w:val="9FA64A68"/>
    <w:lvl w:ilvl="0" w:tplc="5C861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9"/>
    <w:rsid w:val="000F0EFE"/>
    <w:rsid w:val="000F52CE"/>
    <w:rsid w:val="00115F79"/>
    <w:rsid w:val="001472D5"/>
    <w:rsid w:val="002112A9"/>
    <w:rsid w:val="0021274B"/>
    <w:rsid w:val="00230D57"/>
    <w:rsid w:val="002369F8"/>
    <w:rsid w:val="002A0B17"/>
    <w:rsid w:val="002C36A0"/>
    <w:rsid w:val="004E1A5A"/>
    <w:rsid w:val="005412F0"/>
    <w:rsid w:val="00552AA6"/>
    <w:rsid w:val="00563C7B"/>
    <w:rsid w:val="005842B2"/>
    <w:rsid w:val="00653A1B"/>
    <w:rsid w:val="006A6656"/>
    <w:rsid w:val="00704642"/>
    <w:rsid w:val="00790EF7"/>
    <w:rsid w:val="008235D9"/>
    <w:rsid w:val="00843B3C"/>
    <w:rsid w:val="00872889"/>
    <w:rsid w:val="009539C0"/>
    <w:rsid w:val="009B0B6C"/>
    <w:rsid w:val="009E3D8F"/>
    <w:rsid w:val="00B14B92"/>
    <w:rsid w:val="00B62277"/>
    <w:rsid w:val="00C503DF"/>
    <w:rsid w:val="00CA4FFE"/>
    <w:rsid w:val="00CC11B4"/>
    <w:rsid w:val="00CD5EBC"/>
    <w:rsid w:val="00D521BE"/>
    <w:rsid w:val="00DD29EE"/>
    <w:rsid w:val="00EB20DC"/>
    <w:rsid w:val="00EE76B4"/>
    <w:rsid w:val="00F17C72"/>
    <w:rsid w:val="00F21B11"/>
    <w:rsid w:val="00F564BC"/>
    <w:rsid w:val="00F86651"/>
    <w:rsid w:val="00FE7B0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809B-1904-48D2-B3C2-8CBB90D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62277"/>
    <w:rPr>
      <w:color w:val="0000FF"/>
      <w:u w:val="single"/>
    </w:rPr>
  </w:style>
  <w:style w:type="paragraph" w:customStyle="1" w:styleId="rvps2">
    <w:name w:val="rvps2"/>
    <w:basedOn w:val="a"/>
    <w:rsid w:val="002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A0B17"/>
  </w:style>
  <w:style w:type="paragraph" w:styleId="a5">
    <w:name w:val="List Paragraph"/>
    <w:basedOn w:val="a"/>
    <w:uiPriority w:val="34"/>
    <w:qFormat/>
    <w:rsid w:val="00CC11B4"/>
    <w:pPr>
      <w:ind w:left="720"/>
      <w:contextualSpacing/>
    </w:pPr>
  </w:style>
  <w:style w:type="table" w:styleId="a6">
    <w:name w:val="Table Grid"/>
    <w:basedOn w:val="a1"/>
    <w:uiPriority w:val="39"/>
    <w:rsid w:val="00E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E7B0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rsid w:val="00FE7B05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90EF7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0EF7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ed_2005_09_06/pravo1/T400200.html?prav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792A-397A-4031-9E1E-D046EB90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приватного</dc:creator>
  <cp:keywords/>
  <dc:description/>
  <cp:lastModifiedBy>Olha</cp:lastModifiedBy>
  <cp:revision>19</cp:revision>
  <dcterms:created xsi:type="dcterms:W3CDTF">2020-01-17T10:02:00Z</dcterms:created>
  <dcterms:modified xsi:type="dcterms:W3CDTF">2020-03-16T09:31:00Z</dcterms:modified>
</cp:coreProperties>
</file>