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0D" w:rsidRPr="004D0FCB" w:rsidRDefault="00F3450D" w:rsidP="004D0FCB">
      <w:pPr>
        <w:pStyle w:val="20"/>
        <w:shd w:val="clear" w:color="auto" w:fill="auto"/>
        <w:spacing w:after="541" w:line="240" w:lineRule="auto"/>
        <w:ind w:right="200"/>
        <w:rPr>
          <w:b/>
          <w:sz w:val="24"/>
          <w:szCs w:val="24"/>
        </w:rPr>
      </w:pPr>
      <w:r w:rsidRPr="004D0FCB">
        <w:rPr>
          <w:rStyle w:val="22pt"/>
          <w:b/>
          <w:sz w:val="24"/>
          <w:szCs w:val="24"/>
        </w:rPr>
        <w:t>Тема</w:t>
      </w:r>
      <w:r w:rsidR="004D0FCB" w:rsidRPr="004D0FCB">
        <w:rPr>
          <w:b/>
          <w:color w:val="000000"/>
          <w:sz w:val="24"/>
          <w:szCs w:val="24"/>
          <w:lang w:val="uk-UA" w:eastAsia="ru-RU" w:bidi="ru-RU"/>
        </w:rPr>
        <w:t>:</w:t>
      </w:r>
      <w:r w:rsidRPr="004D0FCB">
        <w:rPr>
          <w:b/>
          <w:color w:val="000000"/>
          <w:sz w:val="24"/>
          <w:szCs w:val="24"/>
          <w:lang w:eastAsia="ru-RU" w:bidi="ru-RU"/>
        </w:rPr>
        <w:t xml:space="preserve"> Структура </w:t>
      </w:r>
      <w:r w:rsidRPr="004D0FCB">
        <w:rPr>
          <w:b/>
          <w:color w:val="000000"/>
          <w:sz w:val="24"/>
          <w:szCs w:val="24"/>
          <w:lang w:val="uk-UA" w:eastAsia="uk-UA" w:bidi="uk-UA"/>
        </w:rPr>
        <w:t>адміністративного процесу.</w:t>
      </w:r>
      <w:r w:rsidRPr="004D0FCB">
        <w:rPr>
          <w:b/>
          <w:color w:val="000000"/>
          <w:sz w:val="24"/>
          <w:szCs w:val="24"/>
          <w:lang w:val="uk-UA" w:eastAsia="uk-UA" w:bidi="uk-UA"/>
        </w:rPr>
        <w:br/>
        <w:t>Види проваджень в адміністративних справах</w:t>
      </w:r>
    </w:p>
    <w:p w:rsidR="00F3450D" w:rsidRPr="004D0FCB" w:rsidRDefault="004D0FCB" w:rsidP="004D0FCB">
      <w:pPr>
        <w:pStyle w:val="30"/>
        <w:shd w:val="clear" w:color="auto" w:fill="auto"/>
        <w:spacing w:before="0" w:after="386" w:line="240" w:lineRule="auto"/>
        <w:ind w:right="200"/>
        <w:rPr>
          <w:sz w:val="24"/>
          <w:szCs w:val="24"/>
        </w:rPr>
      </w:pPr>
      <w:r w:rsidRPr="004D0FCB">
        <w:rPr>
          <w:rStyle w:val="31"/>
          <w:sz w:val="24"/>
          <w:szCs w:val="24"/>
        </w:rPr>
        <w:t>П</w:t>
      </w:r>
      <w:r w:rsidR="00F3450D" w:rsidRPr="004D0FCB">
        <w:rPr>
          <w:rStyle w:val="31"/>
          <w:sz w:val="24"/>
          <w:szCs w:val="24"/>
        </w:rPr>
        <w:t xml:space="preserve"> л</w:t>
      </w:r>
      <w:r w:rsidR="00F3450D" w:rsidRPr="004D0FCB">
        <w:rPr>
          <w:color w:val="000000"/>
          <w:sz w:val="24"/>
          <w:szCs w:val="24"/>
          <w:lang w:val="uk-UA" w:eastAsia="uk-UA" w:bidi="uk-UA"/>
        </w:rPr>
        <w:t xml:space="preserve"> а </w:t>
      </w:r>
      <w:r w:rsidR="00F3450D" w:rsidRPr="004D0FCB">
        <w:rPr>
          <w:i/>
          <w:color w:val="000000"/>
          <w:sz w:val="24"/>
          <w:szCs w:val="24"/>
          <w:lang w:val="uk-UA" w:eastAsia="uk-UA" w:bidi="uk-UA"/>
        </w:rPr>
        <w:t>н</w:t>
      </w:r>
    </w:p>
    <w:p w:rsidR="00F3450D" w:rsidRPr="004D0FCB" w:rsidRDefault="00F3450D" w:rsidP="004D0FCB">
      <w:pPr>
        <w:pStyle w:val="20"/>
        <w:numPr>
          <w:ilvl w:val="0"/>
          <w:numId w:val="1"/>
        </w:numPr>
        <w:shd w:val="clear" w:color="auto" w:fill="auto"/>
        <w:tabs>
          <w:tab w:val="left" w:pos="518"/>
        </w:tabs>
        <w:spacing w:after="0" w:line="240" w:lineRule="auto"/>
        <w:ind w:firstLine="26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Структура адміністративного процесу. Провадження в адміністративних справах.</w:t>
      </w:r>
    </w:p>
    <w:p w:rsidR="00F3450D" w:rsidRPr="004D0FCB" w:rsidRDefault="00F3450D" w:rsidP="004D0FCB">
      <w:pPr>
        <w:pStyle w:val="20"/>
        <w:numPr>
          <w:ilvl w:val="0"/>
          <w:numId w:val="1"/>
        </w:numPr>
        <w:shd w:val="clear" w:color="auto" w:fill="auto"/>
        <w:tabs>
          <w:tab w:val="left" w:pos="537"/>
        </w:tabs>
        <w:spacing w:after="0" w:line="240" w:lineRule="auto"/>
        <w:ind w:firstLine="26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Види та стадії адміністративних проваджень</w:t>
      </w:r>
    </w:p>
    <w:p w:rsidR="00F3450D" w:rsidRPr="004D0FCB" w:rsidRDefault="00FB7277" w:rsidP="004D0FCB">
      <w:pPr>
        <w:pStyle w:val="20"/>
        <w:numPr>
          <w:ilvl w:val="0"/>
          <w:numId w:val="1"/>
        </w:numPr>
        <w:shd w:val="clear" w:color="auto" w:fill="auto"/>
        <w:tabs>
          <w:tab w:val="left" w:pos="537"/>
        </w:tabs>
        <w:spacing w:after="1018" w:line="240" w:lineRule="auto"/>
        <w:ind w:firstLine="26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Дисциплінарне провадження</w:t>
      </w:r>
    </w:p>
    <w:p w:rsidR="00F3450D" w:rsidRPr="004D0FCB" w:rsidRDefault="00F3450D" w:rsidP="004D0FCB">
      <w:pPr>
        <w:pStyle w:val="20"/>
        <w:numPr>
          <w:ilvl w:val="0"/>
          <w:numId w:val="2"/>
        </w:numPr>
        <w:shd w:val="clear" w:color="auto" w:fill="auto"/>
        <w:tabs>
          <w:tab w:val="left" w:pos="518"/>
        </w:tabs>
        <w:spacing w:after="140" w:line="240" w:lineRule="auto"/>
        <w:ind w:firstLine="260"/>
        <w:jc w:val="both"/>
        <w:rPr>
          <w:b/>
          <w:sz w:val="24"/>
          <w:szCs w:val="24"/>
        </w:rPr>
      </w:pPr>
      <w:r w:rsidRPr="004D0FCB">
        <w:rPr>
          <w:b/>
          <w:color w:val="000000"/>
          <w:sz w:val="24"/>
          <w:szCs w:val="24"/>
          <w:lang w:val="uk-UA" w:eastAsia="uk-UA" w:bidi="uk-UA"/>
        </w:rPr>
        <w:t>Структура адміністративного процесу.</w:t>
      </w:r>
    </w:p>
    <w:p w:rsidR="00F3450D" w:rsidRPr="004D0FCB" w:rsidRDefault="00F3450D" w:rsidP="004D0FCB">
      <w:pPr>
        <w:pStyle w:val="40"/>
        <w:shd w:val="clear" w:color="auto" w:fill="auto"/>
        <w:spacing w:before="0" w:after="114" w:line="240" w:lineRule="auto"/>
        <w:ind w:firstLine="260"/>
        <w:rPr>
          <w:sz w:val="24"/>
          <w:szCs w:val="24"/>
          <w:lang w:val="uk-UA"/>
        </w:rPr>
      </w:pPr>
      <w:r w:rsidRPr="004D0FCB">
        <w:rPr>
          <w:color w:val="000000"/>
          <w:sz w:val="24"/>
          <w:szCs w:val="24"/>
          <w:lang w:val="uk-UA" w:eastAsia="uk-UA" w:bidi="uk-UA"/>
        </w:rPr>
        <w:t>На попередній лекції мі визначали, що таке адмін. Процес. Широке його розуміння.</w:t>
      </w:r>
    </w:p>
    <w:p w:rsidR="00F3450D" w:rsidRPr="004D0FCB" w:rsidRDefault="00F3450D" w:rsidP="004D0FCB">
      <w:pPr>
        <w:pStyle w:val="20"/>
        <w:shd w:val="clear" w:color="auto" w:fill="auto"/>
        <w:spacing w:after="63" w:line="240" w:lineRule="auto"/>
        <w:ind w:firstLine="260"/>
        <w:jc w:val="both"/>
        <w:rPr>
          <w:sz w:val="24"/>
          <w:szCs w:val="24"/>
          <w:lang w:val="uk-UA"/>
        </w:rPr>
      </w:pPr>
      <w:r w:rsidRPr="004D0FCB">
        <w:rPr>
          <w:color w:val="000000"/>
          <w:sz w:val="24"/>
          <w:szCs w:val="24"/>
          <w:lang w:val="uk-UA" w:eastAsia="uk-UA" w:bidi="uk-UA"/>
        </w:rPr>
        <w:t>Будь-яке правове явище доцільно розглядати як у цілому, так і по частинах, що дає можливість якісного усвідомлення складових указаного явища, їхніх взаємозв'язків, послідовності та впливу на формування кінцевого результату. Не є винятком і адміністративний процес, який, виходячи з його сутності та багатоплановості, теж являє собою сукупність певних складових частин.</w:t>
      </w:r>
    </w:p>
    <w:p w:rsidR="00F3450D" w:rsidRPr="004D0FCB" w:rsidRDefault="00FB7277" w:rsidP="004D0FCB">
      <w:pPr>
        <w:pStyle w:val="20"/>
        <w:shd w:val="clear" w:color="auto" w:fill="auto"/>
        <w:spacing w:after="54" w:line="240" w:lineRule="auto"/>
        <w:ind w:firstLine="26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О</w:t>
      </w:r>
      <w:r w:rsidR="00F3450D" w:rsidRPr="004D0FCB">
        <w:rPr>
          <w:color w:val="000000"/>
          <w:sz w:val="24"/>
          <w:szCs w:val="24"/>
          <w:lang w:val="uk-UA" w:eastAsia="uk-UA" w:bidi="uk-UA"/>
        </w:rPr>
        <w:t xml:space="preserve">днією з найважливіших особливостей адміністративного процесу є значно ширше порівняно з кримінальним та цивільним процесом коло охоплюваних суспільних відносин. Це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зумовлює </w:t>
      </w:r>
      <w:r w:rsidR="00F3450D" w:rsidRPr="004D0FCB">
        <w:rPr>
          <w:color w:val="000000"/>
          <w:sz w:val="24"/>
          <w:szCs w:val="24"/>
          <w:lang w:val="uk-UA" w:eastAsia="uk-UA" w:bidi="uk-UA"/>
        </w:rPr>
        <w:t xml:space="preserve"> </w:t>
      </w:r>
      <w:r w:rsidRPr="004D0FCB">
        <w:rPr>
          <w:rStyle w:val="21"/>
          <w:sz w:val="24"/>
          <w:szCs w:val="24"/>
        </w:rPr>
        <w:t>структуру</w:t>
      </w:r>
      <w:r w:rsidR="00F3450D" w:rsidRPr="004D0FCB">
        <w:rPr>
          <w:rStyle w:val="21"/>
          <w:sz w:val="24"/>
          <w:szCs w:val="24"/>
        </w:rPr>
        <w:t xml:space="preserve"> адміністративного процесу як сукупність. окремих, проваджень.</w:t>
      </w:r>
    </w:p>
    <w:p w:rsidR="00F3450D" w:rsidRPr="004D0FCB" w:rsidRDefault="00F3450D" w:rsidP="004D0FCB">
      <w:pPr>
        <w:pStyle w:val="20"/>
        <w:shd w:val="clear" w:color="auto" w:fill="auto"/>
        <w:spacing w:after="51" w:line="240" w:lineRule="auto"/>
        <w:ind w:firstLine="260"/>
        <w:jc w:val="both"/>
        <w:rPr>
          <w:sz w:val="24"/>
          <w:szCs w:val="24"/>
          <w:lang w:val="uk-UA"/>
        </w:rPr>
      </w:pPr>
      <w:r w:rsidRPr="004D0FCB">
        <w:rPr>
          <w:color w:val="000000"/>
          <w:sz w:val="24"/>
          <w:szCs w:val="24"/>
          <w:lang w:val="uk-UA" w:eastAsia="uk-UA" w:bidi="uk-UA"/>
        </w:rPr>
        <w:t>Виділення окремих проваджень у рамках адміністративного процес</w:t>
      </w:r>
      <w:r w:rsidR="00FB7277" w:rsidRPr="004D0FCB">
        <w:rPr>
          <w:color w:val="000000"/>
          <w:sz w:val="24"/>
          <w:szCs w:val="24"/>
          <w:lang w:val="uk-UA" w:eastAsia="uk-UA" w:bidi="uk-UA"/>
        </w:rPr>
        <w:t>у зумовлене рядом чинників. Перш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 за все кожне провадження характеризується своїми, притаманними йому метою та колом завдань, що вирішуються для досягнення цієї мети. Поділ адміністративного процесу на окремі адміністративні провадження відображає об'</w:t>
      </w:r>
      <w:r w:rsidR="00FB7277" w:rsidRPr="004D0FCB">
        <w:rPr>
          <w:color w:val="000000"/>
          <w:sz w:val="24"/>
          <w:szCs w:val="24"/>
          <w:lang w:val="uk-UA" w:eastAsia="uk-UA" w:bidi="uk-UA"/>
        </w:rPr>
        <w:t>єктивну потребу суспільного поділу праці й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 спеціалізації </w:t>
      </w:r>
      <w:r w:rsidR="004D0FCB">
        <w:rPr>
          <w:rStyle w:val="26pt"/>
          <w:sz w:val="24"/>
          <w:szCs w:val="24"/>
        </w:rPr>
        <w:t>діяльності</w:t>
      </w:r>
      <w:r w:rsidRPr="004D0FCB">
        <w:rPr>
          <w:rStyle w:val="26pt"/>
          <w:sz w:val="24"/>
          <w:szCs w:val="24"/>
        </w:rPr>
        <w:t xml:space="preserve"> </w:t>
      </w:r>
      <w:r w:rsidR="004D0FCB">
        <w:rPr>
          <w:color w:val="000000"/>
          <w:sz w:val="24"/>
          <w:szCs w:val="24"/>
          <w:lang w:val="uk-UA" w:eastAsia="uk-UA" w:bidi="uk-UA"/>
        </w:rPr>
        <w:t>суб'єкт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ів, уповноважених </w:t>
      </w:r>
      <w:r w:rsidR="00FB7277" w:rsidRPr="004D0FCB">
        <w:rPr>
          <w:color w:val="000000"/>
          <w:sz w:val="24"/>
          <w:szCs w:val="24"/>
          <w:lang w:val="uk-UA" w:eastAsia="uk-UA" w:bidi="uk-UA"/>
        </w:rPr>
        <w:t xml:space="preserve">здійснювати </w:t>
      </w:r>
      <w:r w:rsidR="00FB7277" w:rsidRPr="004D0FCB">
        <w:rPr>
          <w:color w:val="000000"/>
          <w:sz w:val="24"/>
          <w:szCs w:val="24"/>
          <w:lang w:val="uk-UA" w:eastAsia="uk-UA" w:bidi="uk-UA"/>
        </w:rPr>
        <w:lastRenderedPageBreak/>
        <w:t>владну діяльність</w:t>
      </w:r>
      <w:r w:rsidRPr="004D0FCB">
        <w:rPr>
          <w:color w:val="000000"/>
          <w:sz w:val="24"/>
          <w:szCs w:val="24"/>
          <w:lang w:val="uk-UA" w:eastAsia="uk-UA" w:bidi="uk-UA"/>
        </w:rPr>
        <w:t>.</w:t>
      </w:r>
    </w:p>
    <w:p w:rsidR="00F3450D" w:rsidRPr="004D0FCB" w:rsidRDefault="00F3450D" w:rsidP="004D0FCB">
      <w:pPr>
        <w:pStyle w:val="40"/>
        <w:shd w:val="clear" w:color="auto" w:fill="auto"/>
        <w:spacing w:before="0" w:after="282" w:line="240" w:lineRule="auto"/>
        <w:ind w:firstLine="260"/>
        <w:rPr>
          <w:sz w:val="24"/>
          <w:szCs w:val="24"/>
          <w:lang w:val="uk-UA"/>
        </w:rPr>
      </w:pPr>
      <w:r w:rsidRPr="004D0FCB">
        <w:rPr>
          <w:color w:val="000000"/>
          <w:sz w:val="24"/>
          <w:szCs w:val="24"/>
          <w:lang w:val="uk-UA" w:eastAsia="uk-UA" w:bidi="uk-UA"/>
        </w:rPr>
        <w:t>Адміністративні провадження визначають як певну єдність послідовно здійснюваних дій процедур, спрямованих на розгляд і вирішенн</w:t>
      </w:r>
      <w:r w:rsidR="00FB7277" w:rsidRPr="004D0FCB">
        <w:rPr>
          <w:color w:val="000000"/>
          <w:sz w:val="24"/>
          <w:szCs w:val="24"/>
          <w:lang w:val="uk-UA" w:eastAsia="uk-UA" w:bidi="uk-UA"/>
        </w:rPr>
        <w:t>я індивідуально-конкретних (адм</w:t>
      </w:r>
      <w:r w:rsidRPr="004D0FCB">
        <w:rPr>
          <w:color w:val="000000"/>
          <w:sz w:val="24"/>
          <w:szCs w:val="24"/>
          <w:lang w:val="uk-UA" w:eastAsia="uk-UA" w:bidi="uk-UA"/>
        </w:rPr>
        <w:t>іністративних) справ.</w:t>
      </w:r>
    </w:p>
    <w:p w:rsidR="004D0FCB" w:rsidRPr="004D0FCB" w:rsidRDefault="004D0FCB" w:rsidP="004D0FCB">
      <w:pPr>
        <w:pStyle w:val="20"/>
        <w:shd w:val="clear" w:color="auto" w:fill="auto"/>
        <w:tabs>
          <w:tab w:val="left" w:pos="537"/>
        </w:tabs>
        <w:spacing w:after="115" w:line="240" w:lineRule="auto"/>
        <w:ind w:left="260"/>
        <w:jc w:val="both"/>
        <w:rPr>
          <w:b/>
          <w:sz w:val="24"/>
          <w:szCs w:val="24"/>
        </w:rPr>
      </w:pPr>
    </w:p>
    <w:p w:rsidR="00F3450D" w:rsidRPr="004D0FCB" w:rsidRDefault="00F3450D" w:rsidP="004D0FCB">
      <w:pPr>
        <w:pStyle w:val="20"/>
        <w:numPr>
          <w:ilvl w:val="0"/>
          <w:numId w:val="2"/>
        </w:numPr>
        <w:shd w:val="clear" w:color="auto" w:fill="auto"/>
        <w:tabs>
          <w:tab w:val="left" w:pos="537"/>
        </w:tabs>
        <w:spacing w:after="115" w:line="240" w:lineRule="auto"/>
        <w:ind w:firstLine="260"/>
        <w:jc w:val="both"/>
        <w:rPr>
          <w:b/>
          <w:sz w:val="24"/>
          <w:szCs w:val="24"/>
        </w:rPr>
      </w:pPr>
      <w:r w:rsidRPr="004D0FCB">
        <w:rPr>
          <w:b/>
          <w:color w:val="000000"/>
          <w:sz w:val="24"/>
          <w:szCs w:val="24"/>
          <w:lang w:val="uk-UA" w:eastAsia="uk-UA" w:bidi="uk-UA"/>
        </w:rPr>
        <w:t>Види та стадії адміністративних проваджень</w:t>
      </w:r>
    </w:p>
    <w:p w:rsidR="00F3450D" w:rsidRPr="004D0FCB" w:rsidRDefault="00FB7277" w:rsidP="004D0FCB">
      <w:pPr>
        <w:pStyle w:val="20"/>
        <w:shd w:val="clear" w:color="auto" w:fill="auto"/>
        <w:spacing w:after="57" w:line="240" w:lineRule="auto"/>
        <w:ind w:firstLine="26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За спеціалізацією діяльнос</w:t>
      </w:r>
      <w:r w:rsidR="00F3450D" w:rsidRPr="004D0FCB">
        <w:rPr>
          <w:color w:val="000000"/>
          <w:sz w:val="24"/>
          <w:szCs w:val="24"/>
          <w:lang w:val="uk-UA" w:eastAsia="uk-UA" w:bidi="uk-UA"/>
        </w:rPr>
        <w:t>ті суб'єктів за індивідуально-конкретними справами систему адміністративних проваджень, що складають структуру адміністративного процесу, можна подати таким чином:</w:t>
      </w:r>
    </w:p>
    <w:p w:rsidR="00F3450D" w:rsidRPr="004D0FCB" w:rsidRDefault="00F3450D" w:rsidP="004D0FCB">
      <w:pPr>
        <w:pStyle w:val="20"/>
        <w:shd w:val="clear" w:color="auto" w:fill="auto"/>
        <w:spacing w:after="0" w:line="240" w:lineRule="auto"/>
        <w:ind w:firstLine="260"/>
        <w:jc w:val="both"/>
        <w:rPr>
          <w:color w:val="000000"/>
          <w:sz w:val="24"/>
          <w:szCs w:val="24"/>
          <w:lang w:val="uk-UA" w:eastAsia="uk-UA" w:bidi="uk-UA"/>
        </w:rPr>
      </w:pPr>
      <w:r w:rsidRPr="004D0FCB">
        <w:rPr>
          <w:color w:val="000000"/>
          <w:sz w:val="24"/>
          <w:szCs w:val="24"/>
          <w:lang w:val="uk-UA" w:eastAsia="uk-UA" w:bidi="uk-UA"/>
        </w:rPr>
        <w:t>з підготовки й ухвалення нормативних правових актів; з підготовки й ухвалення індивідуальних правових актів; з укладання адміністративних договорів; з розгляду пропозицій і заяв громадян; реєстрац</w:t>
      </w:r>
      <w:r w:rsidR="00FB7277" w:rsidRPr="004D0FCB">
        <w:rPr>
          <w:color w:val="000000"/>
          <w:sz w:val="24"/>
          <w:szCs w:val="24"/>
          <w:lang w:val="uk-UA" w:eastAsia="uk-UA" w:bidi="uk-UA"/>
        </w:rPr>
        <w:t>ійне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 дозвільне; установче; з реалізації контрольно- наглядових повноважень; виконавче; з діловодства; з приватизації державного і громадського</w:t>
      </w:r>
      <w:r w:rsidR="00FB7277" w:rsidRPr="004D0FCB">
        <w:rPr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>майна; у земельних, екологічних, фінансово-бюджетних, податкових і деяких інших справах; провадження у справах про адміністративні правопорушення; провадження з розгляду скарг громадян; дисциплінарні провадження щодо державних службовців.</w:t>
      </w:r>
    </w:p>
    <w:p w:rsidR="00FB7277" w:rsidRPr="004D0FCB" w:rsidRDefault="00FB7277" w:rsidP="004D0FCB">
      <w:pPr>
        <w:pStyle w:val="20"/>
        <w:shd w:val="clear" w:color="auto" w:fill="auto"/>
        <w:spacing w:after="0" w:line="240" w:lineRule="auto"/>
        <w:ind w:firstLine="260"/>
        <w:jc w:val="both"/>
        <w:rPr>
          <w:sz w:val="24"/>
          <w:szCs w:val="24"/>
        </w:rPr>
      </w:pPr>
    </w:p>
    <w:p w:rsidR="00F3450D" w:rsidRPr="004D0FCB" w:rsidRDefault="00F3450D" w:rsidP="004D0FCB">
      <w:pPr>
        <w:pStyle w:val="20"/>
        <w:shd w:val="clear" w:color="auto" w:fill="auto"/>
        <w:spacing w:after="174" w:line="240" w:lineRule="auto"/>
        <w:ind w:firstLine="26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Класифікація проваджень можлива за різними критеріями (підставами).</w:t>
      </w:r>
    </w:p>
    <w:p w:rsidR="00F3450D" w:rsidRPr="004D0FCB" w:rsidRDefault="00F3450D" w:rsidP="004D0FCB">
      <w:pPr>
        <w:pStyle w:val="20"/>
        <w:shd w:val="clear" w:color="auto" w:fill="auto"/>
        <w:spacing w:after="60" w:line="240" w:lineRule="auto"/>
        <w:ind w:firstLine="26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За функціональною ознакою у структурі адміністративного процесу можна виділити: а) провадження, що мають установчий характер (провадження з утворення державних органів, суб’єктів підприємницької діяльності); б) провадження, що мають правотворчий характер (провадження з відпрацювання та прийняття нормативних актів); в) правоохоронні провадження (провадження у справах про адміністративні правопорушення, провадження за скаргами громадян); г) правонаділяючі провадження (провадження з реалізації контрольно-наглядових повноважень).</w:t>
      </w:r>
    </w:p>
    <w:p w:rsidR="00F3450D" w:rsidRPr="004D0FCB" w:rsidRDefault="00F3450D" w:rsidP="004D0FCB">
      <w:pPr>
        <w:pStyle w:val="20"/>
        <w:shd w:val="clear" w:color="auto" w:fill="auto"/>
        <w:spacing w:after="0" w:line="240" w:lineRule="auto"/>
        <w:ind w:firstLine="260"/>
        <w:jc w:val="both"/>
        <w:rPr>
          <w:sz w:val="24"/>
          <w:szCs w:val="24"/>
          <w:lang w:val="uk-UA"/>
        </w:rPr>
      </w:pPr>
      <w:r w:rsidRPr="004D0FC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23190" distL="63500" distR="320040" simplePos="0" relativeHeight="251660288" behindDoc="1" locked="0" layoutInCell="1" allowOverlap="1">
                <wp:simplePos x="0" y="0"/>
                <wp:positionH relativeFrom="margin">
                  <wp:posOffset>2271395</wp:posOffset>
                </wp:positionH>
                <wp:positionV relativeFrom="paragraph">
                  <wp:posOffset>721995</wp:posOffset>
                </wp:positionV>
                <wp:extent cx="1165860" cy="228600"/>
                <wp:effectExtent l="0" t="0" r="0" b="317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50D" w:rsidRDefault="00F3450D" w:rsidP="00F3450D">
                            <w:pPr>
                              <w:pStyle w:val="4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8.85pt;margin-top:56.85pt;width:91.8pt;height:18pt;z-index:-251656192;visibility:visible;mso-wrap-style:square;mso-width-percent:0;mso-height-percent:0;mso-wrap-distance-left:5pt;mso-wrap-distance-top:0;mso-wrap-distance-right:25.2pt;mso-wrap-distance-bottom: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vtxAIAAK8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" filled="f" stroked="f">
                <v:textbox style="mso-fit-shape-to-text:t" inset="0,0,0,0">
                  <w:txbxContent>
                    <w:p w:rsidR="00F3450D" w:rsidRDefault="00F3450D" w:rsidP="00F3450D">
                      <w:pPr>
                        <w:pStyle w:val="40"/>
                        <w:shd w:val="clear" w:color="auto" w:fill="auto"/>
                        <w:spacing w:before="0" w:after="0" w:line="1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Залежно від </w:t>
      </w:r>
      <w:r w:rsidRPr="004D0FCB">
        <w:rPr>
          <w:rStyle w:val="23"/>
          <w:sz w:val="24"/>
          <w:szCs w:val="24"/>
        </w:rPr>
        <w:t>ступеня врегульованості процесуальної форми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можна виділити </w:t>
      </w:r>
      <w:r w:rsidRPr="004D0FCB">
        <w:rPr>
          <w:rStyle w:val="23"/>
          <w:sz w:val="24"/>
          <w:szCs w:val="24"/>
        </w:rPr>
        <w:t>звичайне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и </w:t>
      </w:r>
      <w:r w:rsidRPr="004D0FCB">
        <w:rPr>
          <w:rStyle w:val="23"/>
          <w:sz w:val="24"/>
          <w:szCs w:val="24"/>
        </w:rPr>
        <w:t>спрощене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(прискорене) провадження. </w:t>
      </w:r>
      <w:r w:rsidRPr="004D0FCB">
        <w:rPr>
          <w:color w:val="000000"/>
          <w:sz w:val="24"/>
          <w:szCs w:val="24"/>
          <w:lang w:val="uk-UA" w:eastAsia="uk-UA" w:bidi="uk-UA"/>
        </w:rPr>
        <w:lastRenderedPageBreak/>
        <w:t>Прискорене (провадження, наприклад, у справі про адміністративне правопорушення у випадках, коли штраф стягується на місці здійснення правопорушення) характеризується спрощеною процесуальною регламентацією, мінімальною кількістю процесуальних актів, певною «спресованістю» стадій.</w:t>
      </w:r>
    </w:p>
    <w:p w:rsidR="00FB7277" w:rsidRPr="004D0FCB" w:rsidRDefault="00FB7277" w:rsidP="004D0FCB">
      <w:pPr>
        <w:pStyle w:val="a6"/>
        <w:jc w:val="both"/>
        <w:rPr>
          <w:rStyle w:val="41"/>
          <w:rFonts w:eastAsia="Microsoft Sans Serif"/>
          <w:sz w:val="24"/>
          <w:szCs w:val="24"/>
        </w:rPr>
      </w:pPr>
      <w:r w:rsidRPr="004D0FCB">
        <w:rPr>
          <w:rStyle w:val="41"/>
          <w:rFonts w:eastAsia="Microsoft Sans Serif"/>
          <w:sz w:val="24"/>
          <w:szCs w:val="24"/>
        </w:rPr>
        <w:t>Залежно від характеру індивідуально-конкретної справи:</w:t>
      </w:r>
    </w:p>
    <w:p w:rsidR="00FB7277" w:rsidRPr="004D0FCB" w:rsidRDefault="00F3450D" w:rsidP="004D0FCB">
      <w:pPr>
        <w:pStyle w:val="a6"/>
        <w:jc w:val="both"/>
        <w:rPr>
          <w:rFonts w:ascii="Times New Roman" w:hAnsi="Times New Roman" w:cs="Times New Roman"/>
        </w:rPr>
      </w:pPr>
      <w:r w:rsidRPr="004D0FCB">
        <w:rPr>
          <w:rStyle w:val="41"/>
          <w:rFonts w:eastAsia="Microsoft Sans Serif"/>
          <w:i w:val="0"/>
          <w:iCs w:val="0"/>
          <w:sz w:val="24"/>
          <w:szCs w:val="24"/>
        </w:rPr>
        <w:t xml:space="preserve">0 нєюрисдикційні </w:t>
      </w:r>
      <w:r w:rsidRPr="004D0FCB">
        <w:rPr>
          <w:rFonts w:ascii="Times New Roman" w:hAnsi="Times New Roman" w:cs="Times New Roman"/>
        </w:rPr>
        <w:t xml:space="preserve">адміністративні провадження; </w:t>
      </w:r>
    </w:p>
    <w:p w:rsidR="00F3450D" w:rsidRPr="004D0FCB" w:rsidRDefault="00F3450D" w:rsidP="004D0FCB">
      <w:pPr>
        <w:pStyle w:val="a6"/>
        <w:jc w:val="both"/>
        <w:rPr>
          <w:rFonts w:ascii="Times New Roman" w:hAnsi="Times New Roman" w:cs="Times New Roman"/>
        </w:rPr>
      </w:pPr>
      <w:r w:rsidRPr="004D0FCB">
        <w:rPr>
          <w:rStyle w:val="41"/>
          <w:rFonts w:eastAsia="Microsoft Sans Serif"/>
          <w:i w:val="0"/>
          <w:iCs w:val="0"/>
          <w:sz w:val="24"/>
          <w:szCs w:val="24"/>
        </w:rPr>
        <w:t xml:space="preserve">0 юрисдикційні </w:t>
      </w:r>
      <w:r w:rsidRPr="004D0FCB">
        <w:rPr>
          <w:rFonts w:ascii="Times New Roman" w:hAnsi="Times New Roman" w:cs="Times New Roman"/>
        </w:rPr>
        <w:t>адміністративні провадження.</w:t>
      </w:r>
    </w:p>
    <w:p w:rsidR="00FB7277" w:rsidRPr="004D0FCB" w:rsidRDefault="00FB7277" w:rsidP="004D0FCB">
      <w:pPr>
        <w:pStyle w:val="40"/>
        <w:shd w:val="clear" w:color="auto" w:fill="auto"/>
        <w:spacing w:before="0" w:after="51" w:line="240" w:lineRule="auto"/>
        <w:ind w:firstLine="260"/>
        <w:rPr>
          <w:rStyle w:val="41"/>
          <w:sz w:val="24"/>
          <w:szCs w:val="24"/>
        </w:rPr>
      </w:pPr>
    </w:p>
    <w:p w:rsidR="00F3450D" w:rsidRPr="004D0FCB" w:rsidRDefault="00F3450D" w:rsidP="004D0FCB">
      <w:pPr>
        <w:pStyle w:val="40"/>
        <w:shd w:val="clear" w:color="auto" w:fill="auto"/>
        <w:spacing w:before="0" w:after="51" w:line="240" w:lineRule="auto"/>
        <w:ind w:firstLine="260"/>
        <w:rPr>
          <w:sz w:val="24"/>
          <w:szCs w:val="24"/>
          <w:lang w:val="uk-UA"/>
        </w:rPr>
      </w:pPr>
      <w:r w:rsidRPr="004D0FCB">
        <w:rPr>
          <w:rStyle w:val="41"/>
          <w:sz w:val="24"/>
          <w:szCs w:val="24"/>
        </w:rPr>
        <w:t xml:space="preserve">У </w:t>
      </w:r>
      <w:r w:rsidRPr="004D0FCB">
        <w:rPr>
          <w:color w:val="000000"/>
          <w:sz w:val="24"/>
          <w:szCs w:val="24"/>
          <w:lang w:val="uk-UA" w:eastAsia="uk-UA" w:bidi="uk-UA"/>
        </w:rPr>
        <w:t>структурі кожного окремого провадження</w:t>
      </w:r>
      <w:r w:rsidRPr="004D0FCB">
        <w:rPr>
          <w:rStyle w:val="40pt"/>
          <w:rFonts w:eastAsia="Impact"/>
          <w:i/>
          <w:iCs/>
          <w:sz w:val="24"/>
          <w:szCs w:val="24"/>
        </w:rPr>
        <w:t xml:space="preserve"> </w:t>
      </w:r>
      <w:r w:rsidRPr="004D0FCB">
        <w:rPr>
          <w:rStyle w:val="41"/>
          <w:sz w:val="24"/>
          <w:szCs w:val="24"/>
        </w:rPr>
        <w:t xml:space="preserve">можна виділити стадії провадження відносно відмежовані, виділені в часі й логічно пов'язані </w:t>
      </w:r>
      <w:r w:rsidRPr="004D0FCB">
        <w:rPr>
          <w:color w:val="000000"/>
          <w:sz w:val="24"/>
          <w:szCs w:val="24"/>
          <w:lang w:val="uk-UA" w:eastAsia="uk-UA" w:bidi="uk-UA"/>
        </w:rPr>
        <w:t>сукупності процесуальних дій (процедур), які відрізняються колом суб'єктів і закріплюються відповідними процесуальними актами.</w:t>
      </w:r>
    </w:p>
    <w:p w:rsidR="00F3450D" w:rsidRPr="004D0FCB" w:rsidRDefault="00F3450D" w:rsidP="004D0FCB">
      <w:pPr>
        <w:pStyle w:val="20"/>
        <w:shd w:val="clear" w:color="auto" w:fill="auto"/>
        <w:spacing w:after="66" w:line="240" w:lineRule="auto"/>
        <w:ind w:firstLine="26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До основних стадій провадження, котрі властиві в цілому адміністративно-процесуальній діяльності, належать:</w:t>
      </w:r>
    </w:p>
    <w:p w:rsidR="00F3450D" w:rsidRPr="004D0FCB" w:rsidRDefault="00F3450D" w:rsidP="004D0FCB">
      <w:pPr>
        <w:pStyle w:val="20"/>
        <w:shd w:val="clear" w:color="auto" w:fill="auto"/>
        <w:spacing w:after="60" w:line="240" w:lineRule="auto"/>
        <w:ind w:firstLine="260"/>
        <w:jc w:val="both"/>
        <w:rPr>
          <w:sz w:val="24"/>
          <w:szCs w:val="24"/>
          <w:lang w:val="uk-UA"/>
        </w:rPr>
      </w:pPr>
      <w:r w:rsidRPr="004D0FCB">
        <w:rPr>
          <w:color w:val="000000"/>
          <w:sz w:val="24"/>
          <w:szCs w:val="24"/>
          <w:lang w:val="uk-UA" w:eastAsia="uk-UA" w:bidi="uk-UA"/>
        </w:rPr>
        <w:t xml:space="preserve">0 стадія </w:t>
      </w:r>
      <w:r w:rsidRPr="004D0FCB">
        <w:rPr>
          <w:rStyle w:val="23"/>
          <w:sz w:val="24"/>
          <w:szCs w:val="24"/>
        </w:rPr>
        <w:t>аналізу ситуації,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в ході якої збирається і фіксується інформація про фактичний стан справ, реальні факти, оцінюється перспектива подальшого руху справи, ухвалюється рішення про необхідність такого руху. Цю стадію можна також назвати стадією </w:t>
      </w:r>
      <w:r w:rsidRPr="004D0FCB">
        <w:rPr>
          <w:rStyle w:val="23"/>
          <w:sz w:val="24"/>
          <w:szCs w:val="24"/>
        </w:rPr>
        <w:t>порушення адміністративної справи;</w:t>
      </w:r>
    </w:p>
    <w:p w:rsidR="00F3450D" w:rsidRPr="004D0FCB" w:rsidRDefault="00F3450D" w:rsidP="004D0FCB">
      <w:pPr>
        <w:pStyle w:val="20"/>
        <w:shd w:val="clear" w:color="auto" w:fill="auto"/>
        <w:spacing w:after="92" w:line="240" w:lineRule="auto"/>
        <w:ind w:firstLine="260"/>
        <w:jc w:val="both"/>
        <w:rPr>
          <w:sz w:val="24"/>
          <w:szCs w:val="24"/>
          <w:lang w:val="uk-UA"/>
        </w:rPr>
      </w:pPr>
      <w:r w:rsidRPr="004D0FCB">
        <w:rPr>
          <w:color w:val="000000"/>
          <w:sz w:val="24"/>
          <w:szCs w:val="24"/>
          <w:lang w:val="uk-UA" w:eastAsia="uk-UA" w:bidi="uk-UA"/>
        </w:rPr>
        <w:t xml:space="preserve">0 стадія </w:t>
      </w:r>
      <w:r w:rsidRPr="004D0FCB">
        <w:rPr>
          <w:rStyle w:val="23"/>
          <w:sz w:val="24"/>
          <w:szCs w:val="24"/>
        </w:rPr>
        <w:t>прийняття (ухвалення) рішення в справі,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в ході якої: а) дається </w:t>
      </w:r>
      <w:r w:rsidRPr="004D0FCB">
        <w:rPr>
          <w:rStyle w:val="23"/>
          <w:sz w:val="24"/>
          <w:szCs w:val="24"/>
        </w:rPr>
        <w:t xml:space="preserve">юридична оцінка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зібраної </w:t>
      </w:r>
      <w:r w:rsidRPr="004D0FCB">
        <w:rPr>
          <w:rStyle w:val="23"/>
          <w:sz w:val="24"/>
          <w:szCs w:val="24"/>
        </w:rPr>
        <w:t>інформації;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б) повно й всебічно досліджуються </w:t>
      </w:r>
      <w:r w:rsidRPr="004D0FCB">
        <w:rPr>
          <w:rStyle w:val="23"/>
          <w:sz w:val="24"/>
          <w:szCs w:val="24"/>
        </w:rPr>
        <w:t>Матеріали справи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з метою встановлення </w:t>
      </w:r>
      <w:r w:rsidRPr="004D0FCB">
        <w:rPr>
          <w:rStyle w:val="23"/>
          <w:sz w:val="24"/>
          <w:szCs w:val="24"/>
        </w:rPr>
        <w:t>об'єктивної істини,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ухвалюється конкретне </w:t>
      </w:r>
      <w:r w:rsidRPr="004D0FCB">
        <w:rPr>
          <w:rStyle w:val="23"/>
          <w:sz w:val="24"/>
          <w:szCs w:val="24"/>
        </w:rPr>
        <w:t>рішення;</w:t>
      </w:r>
    </w:p>
    <w:p w:rsidR="00F3450D" w:rsidRPr="004D0FCB" w:rsidRDefault="00F3450D" w:rsidP="004D0FCB">
      <w:pPr>
        <w:pStyle w:val="20"/>
        <w:shd w:val="clear" w:color="auto" w:fill="auto"/>
        <w:spacing w:after="52" w:line="240" w:lineRule="auto"/>
        <w:ind w:firstLine="26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 xml:space="preserve">0 стадія </w:t>
      </w:r>
      <w:r w:rsidR="00FB7277" w:rsidRPr="004D0FCB">
        <w:rPr>
          <w:rStyle w:val="23"/>
          <w:sz w:val="24"/>
          <w:szCs w:val="24"/>
        </w:rPr>
        <w:t>оскарження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рішення в справі (ця стадія має </w:t>
      </w:r>
      <w:r w:rsidRPr="004D0FCB">
        <w:rPr>
          <w:rStyle w:val="23"/>
          <w:sz w:val="24"/>
          <w:szCs w:val="24"/>
        </w:rPr>
        <w:t>факультативний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>характер).</w:t>
      </w:r>
    </w:p>
    <w:p w:rsidR="00F3450D" w:rsidRPr="004D0FCB" w:rsidRDefault="00F3450D" w:rsidP="004D0FCB">
      <w:pPr>
        <w:pStyle w:val="20"/>
        <w:shd w:val="clear" w:color="auto" w:fill="auto"/>
        <w:spacing w:after="0" w:line="240" w:lineRule="auto"/>
        <w:ind w:firstLine="26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 xml:space="preserve">0 стадія </w:t>
      </w:r>
      <w:r w:rsidRPr="004D0FCB">
        <w:rPr>
          <w:rStyle w:val="23"/>
          <w:sz w:val="24"/>
          <w:szCs w:val="24"/>
        </w:rPr>
        <w:t>виконання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(або звернення до виконання) ухваленого </w:t>
      </w:r>
      <w:r w:rsidRPr="004D0FCB">
        <w:rPr>
          <w:rStyle w:val="23"/>
          <w:sz w:val="24"/>
          <w:szCs w:val="24"/>
        </w:rPr>
        <w:t>рішення,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>в ході якої дістає логічне завершення вся діяльність щодо адміністративної справи (підкреслимо важливість цієї стадії, оскільки без неї все провадження в справі практично втрачає сенс, стає пустою формальністю);</w:t>
      </w:r>
    </w:p>
    <w:p w:rsidR="00FB7277" w:rsidRPr="004D0FCB" w:rsidRDefault="00FB7277" w:rsidP="004D0FCB">
      <w:pPr>
        <w:pStyle w:val="20"/>
        <w:shd w:val="clear" w:color="auto" w:fill="auto"/>
        <w:spacing w:after="60" w:line="240" w:lineRule="auto"/>
        <w:ind w:firstLine="240"/>
        <w:jc w:val="both"/>
        <w:rPr>
          <w:color w:val="000000"/>
          <w:sz w:val="24"/>
          <w:szCs w:val="24"/>
          <w:lang w:val="uk-UA" w:eastAsia="uk-UA" w:bidi="uk-UA"/>
        </w:rPr>
      </w:pPr>
    </w:p>
    <w:p w:rsidR="00F3450D" w:rsidRPr="004D0FCB" w:rsidRDefault="00F3450D" w:rsidP="004D0FCB">
      <w:pPr>
        <w:pStyle w:val="20"/>
        <w:shd w:val="clear" w:color="auto" w:fill="auto"/>
        <w:spacing w:after="60" w:line="240" w:lineRule="auto"/>
        <w:ind w:firstLine="240"/>
        <w:jc w:val="both"/>
        <w:rPr>
          <w:sz w:val="24"/>
          <w:szCs w:val="24"/>
          <w:lang w:val="uk-UA"/>
        </w:rPr>
      </w:pPr>
      <w:r w:rsidRPr="004D0FCB">
        <w:rPr>
          <w:color w:val="000000"/>
          <w:sz w:val="24"/>
          <w:szCs w:val="24"/>
          <w:lang w:val="uk-UA" w:eastAsia="uk-UA" w:bidi="uk-UA"/>
        </w:rPr>
        <w:t xml:space="preserve">У стадіях адміністративно-процесуальної діяльності можна виокремити ще простіші складові — </w:t>
      </w:r>
      <w:r w:rsidRPr="004D0FCB">
        <w:rPr>
          <w:rStyle w:val="23"/>
          <w:sz w:val="24"/>
          <w:szCs w:val="24"/>
        </w:rPr>
        <w:t>етапи процесуальної діяльності і процесуальні дії.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Наприклад, у стадії порушення </w:t>
      </w:r>
      <w:r w:rsidRPr="004D0FCB">
        <w:rPr>
          <w:color w:val="000000"/>
          <w:sz w:val="24"/>
          <w:szCs w:val="24"/>
          <w:lang w:val="uk-UA" w:eastAsia="uk-UA" w:bidi="uk-UA"/>
        </w:rPr>
        <w:lastRenderedPageBreak/>
        <w:t>провадження в справі про адміністративне правопорушення можна виділити етапи припинення правопорушення і застосування заходів, які забезпечують провадження в справі (наприклад, адміністративне затримання), складання протоколу про правопорушення і т. ін.</w:t>
      </w:r>
    </w:p>
    <w:p w:rsidR="00F3450D" w:rsidRPr="004D0FCB" w:rsidRDefault="00F3450D" w:rsidP="004D0FCB">
      <w:pPr>
        <w:pStyle w:val="20"/>
        <w:shd w:val="clear" w:color="auto" w:fill="auto"/>
        <w:spacing w:after="60" w:line="240" w:lineRule="auto"/>
        <w:ind w:firstLine="24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Етапи процесуальної діяльності характеризуються визначеними безпосередніми цілями і завданнями, а також колом суб'єктів їх здійснення. Результати етапів процесуальної діяльності дістають своє відображення в окремому процесуальному оформленні. Так, застосування забезпечувальних заходів у провадженні в справах про адміністративні правопорушення може фіксуватися в окремих протоколах поряд із фіксацією в протоколі адміністративного правопорушення.</w:t>
      </w:r>
    </w:p>
    <w:p w:rsidR="00F3450D" w:rsidRPr="004D0FCB" w:rsidRDefault="00F3450D" w:rsidP="004D0FCB">
      <w:pPr>
        <w:pStyle w:val="20"/>
        <w:shd w:val="clear" w:color="auto" w:fill="auto"/>
        <w:spacing w:after="57" w:line="240" w:lineRule="auto"/>
        <w:ind w:firstLine="24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 xml:space="preserve">Серед видів процесуальних дій доцільно виділити </w:t>
      </w:r>
      <w:r w:rsidRPr="004D0FCB">
        <w:rPr>
          <w:rStyle w:val="23"/>
          <w:sz w:val="24"/>
          <w:szCs w:val="24"/>
        </w:rPr>
        <w:t>попередні, проміжні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й </w:t>
      </w:r>
      <w:r w:rsidRPr="004D0FCB">
        <w:rPr>
          <w:rStyle w:val="23"/>
          <w:sz w:val="24"/>
          <w:szCs w:val="24"/>
        </w:rPr>
        <w:t xml:space="preserve">завершальні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процесуальні дії. Наприклад, до </w:t>
      </w:r>
      <w:r w:rsidRPr="004D0FCB">
        <w:rPr>
          <w:rStyle w:val="23"/>
          <w:sz w:val="24"/>
          <w:szCs w:val="24"/>
        </w:rPr>
        <w:t>попередніх процесуальних дій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можна віднести медичний огляд з метою встановлення наявності та ступеня алкогольного сп'яніння громадянина при розв'язанні питання про можливість притягнення його до адміністративної відповідальності за керування транспортним засобом у стані алкогольного сп'яніння. </w:t>
      </w:r>
      <w:r w:rsidRPr="004D0FCB">
        <w:rPr>
          <w:rStyle w:val="23"/>
          <w:sz w:val="24"/>
          <w:szCs w:val="24"/>
        </w:rPr>
        <w:t>Проміжною процесуальною дією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може бути призначення необхідної експертизи в ході розгляду адміністративної справи. </w:t>
      </w:r>
      <w:r w:rsidRPr="004D0FCB">
        <w:rPr>
          <w:rStyle w:val="23"/>
          <w:sz w:val="24"/>
          <w:szCs w:val="24"/>
        </w:rPr>
        <w:t>Завершальною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>є, наприклад, процесуальна дія, спрямована на виконання винесеної в справі постанови.</w:t>
      </w:r>
    </w:p>
    <w:p w:rsidR="00F3450D" w:rsidRPr="004D0FCB" w:rsidRDefault="00F3450D" w:rsidP="004D0FCB">
      <w:pPr>
        <w:pStyle w:val="20"/>
        <w:shd w:val="clear" w:color="auto" w:fill="auto"/>
        <w:spacing w:after="387" w:line="240" w:lineRule="auto"/>
        <w:ind w:firstLine="24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Отже, структуру адміністративних проваджень, як і в цілому адміністративно- процесуальної діяльності, утворюють процесуальні стадії, їх етапи, а також процесуальні дії, що в сукупності виступають первинними складовими адміністративного процесу.</w:t>
      </w:r>
    </w:p>
    <w:p w:rsidR="00F3450D" w:rsidRPr="004D0FCB" w:rsidRDefault="00F3450D" w:rsidP="004D0FCB">
      <w:pPr>
        <w:pStyle w:val="40"/>
        <w:shd w:val="clear" w:color="auto" w:fill="auto"/>
        <w:spacing w:before="0" w:after="0" w:line="240" w:lineRule="auto"/>
        <w:ind w:firstLine="240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 xml:space="preserve"> Неюрисдикційні адміністративні провадження</w:t>
      </w:r>
    </w:p>
    <w:p w:rsidR="00F3450D" w:rsidRPr="004D0FCB" w:rsidRDefault="00F3450D" w:rsidP="004D0FCB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  <w:lang w:val="uk-UA"/>
        </w:rPr>
      </w:pPr>
      <w:r w:rsidRPr="004D0FCB">
        <w:rPr>
          <w:color w:val="000000"/>
          <w:sz w:val="24"/>
          <w:szCs w:val="24"/>
          <w:lang w:val="uk-UA" w:eastAsia="uk-UA" w:bidi="uk-UA"/>
        </w:rPr>
        <w:t xml:space="preserve">Велика частина проваджень, які становлять структуру адміністративного процесу, спрямована на вирішення справ щодо відносин так званого </w:t>
      </w:r>
      <w:r w:rsidRPr="004D0FCB">
        <w:rPr>
          <w:rStyle w:val="23"/>
          <w:sz w:val="24"/>
          <w:szCs w:val="24"/>
        </w:rPr>
        <w:t>позитивного,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тобто </w:t>
      </w:r>
      <w:r w:rsidRPr="004D0FCB">
        <w:rPr>
          <w:rStyle w:val="23"/>
          <w:sz w:val="24"/>
          <w:szCs w:val="24"/>
        </w:rPr>
        <w:t>неюрисдикційного, характеру,</w:t>
      </w:r>
      <w:r w:rsidRPr="004D0FCB">
        <w:rPr>
          <w:rStyle w:val="20pt"/>
          <w:sz w:val="24"/>
          <w:szCs w:val="24"/>
        </w:rPr>
        <w:t xml:space="preserve">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що виникають у ході виконавчо-розпорядчої діяльності державних органів. Коло цих проваджень значно ширше порівняно з юрисдикційними провадженнями. Це зумовлено специфікою </w:t>
      </w:r>
      <w:r w:rsidRPr="004D0FCB">
        <w:rPr>
          <w:color w:val="000000"/>
          <w:sz w:val="24"/>
          <w:szCs w:val="24"/>
          <w:lang w:val="uk-UA" w:eastAsia="uk-UA" w:bidi="uk-UA"/>
        </w:rPr>
        <w:lastRenderedPageBreak/>
        <w:t>управлінської діяльності в різних сферах життя суспільства, розмаїттям і спеціалізацією органів управління, їх повноважень.</w:t>
      </w:r>
    </w:p>
    <w:p w:rsidR="00F3450D" w:rsidRPr="004D0FCB" w:rsidRDefault="00F3450D" w:rsidP="004D0FCB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 xml:space="preserve">До неюрисдикційних проваджень слід віднести такі </w:t>
      </w:r>
      <w:r w:rsidRPr="004D0FCB">
        <w:rPr>
          <w:rStyle w:val="23"/>
          <w:sz w:val="24"/>
          <w:szCs w:val="24"/>
        </w:rPr>
        <w:t>види проваджень:</w:t>
      </w:r>
    </w:p>
    <w:p w:rsidR="00F3450D" w:rsidRPr="004D0FCB" w:rsidRDefault="00F3450D" w:rsidP="004D0FCB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0 з підготовки й ухв</w:t>
      </w:r>
      <w:bookmarkStart w:id="0" w:name="_GoBack"/>
      <w:bookmarkEnd w:id="0"/>
      <w:r w:rsidRPr="004D0FCB">
        <w:rPr>
          <w:color w:val="000000"/>
          <w:sz w:val="24"/>
          <w:szCs w:val="24"/>
          <w:lang w:val="uk-UA" w:eastAsia="uk-UA" w:bidi="uk-UA"/>
        </w:rPr>
        <w:t>алення нормативних правових актів;</w:t>
      </w:r>
    </w:p>
    <w:p w:rsidR="00F3450D" w:rsidRPr="004D0FCB" w:rsidRDefault="00F3450D" w:rsidP="004D0FCB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4D0FCB">
        <w:rPr>
          <w:rStyle w:val="24"/>
          <w:sz w:val="24"/>
          <w:szCs w:val="24"/>
        </w:rPr>
        <w:t xml:space="preserve">0 </w:t>
      </w:r>
      <w:r w:rsidRPr="004D0FCB">
        <w:rPr>
          <w:color w:val="000000"/>
          <w:sz w:val="24"/>
          <w:szCs w:val="24"/>
          <w:lang w:val="uk-UA" w:eastAsia="uk-UA" w:bidi="uk-UA"/>
        </w:rPr>
        <w:t xml:space="preserve">з </w:t>
      </w:r>
      <w:r w:rsidRPr="004D0FCB">
        <w:rPr>
          <w:rStyle w:val="24"/>
          <w:sz w:val="24"/>
          <w:szCs w:val="24"/>
        </w:rPr>
        <w:t xml:space="preserve">підготовки й </w:t>
      </w:r>
      <w:r w:rsidRPr="004D0FCB">
        <w:rPr>
          <w:color w:val="000000"/>
          <w:sz w:val="24"/>
          <w:szCs w:val="24"/>
          <w:lang w:val="uk-UA" w:eastAsia="uk-UA" w:bidi="uk-UA"/>
        </w:rPr>
        <w:t>ухвалення індивідуальних правових актів;</w:t>
      </w:r>
    </w:p>
    <w:p w:rsidR="00F3450D" w:rsidRPr="004D0FCB" w:rsidRDefault="00F3450D" w:rsidP="004D0FCB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0 з укладання адміністративних договорів;</w:t>
      </w:r>
    </w:p>
    <w:p w:rsidR="00F3450D" w:rsidRPr="004D0FCB" w:rsidRDefault="00F3450D" w:rsidP="004D0FCB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0 з розгляду пропозицій і заяв громадян;</w:t>
      </w:r>
    </w:p>
    <w:p w:rsidR="00F3450D" w:rsidRPr="004D0FCB" w:rsidRDefault="00F3450D" w:rsidP="004D0FCB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0 реєстраційне і дозвільне;</w:t>
      </w:r>
    </w:p>
    <w:p w:rsidR="00F3450D" w:rsidRPr="004D0FCB" w:rsidRDefault="00F3450D" w:rsidP="004D0FCB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0 установче;</w:t>
      </w:r>
    </w:p>
    <w:p w:rsidR="00F3450D" w:rsidRPr="004D0FCB" w:rsidRDefault="00F3450D" w:rsidP="004D0FCB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0 з реалізації контрольно-наглядових повноважень;</w:t>
      </w:r>
    </w:p>
    <w:p w:rsidR="00F3450D" w:rsidRPr="004D0FCB" w:rsidRDefault="00F3450D" w:rsidP="004D0FCB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0 виконавче;</w:t>
      </w:r>
    </w:p>
    <w:p w:rsidR="00F3450D" w:rsidRPr="004D0FCB" w:rsidRDefault="00F3450D" w:rsidP="004D0FCB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</w:rPr>
      </w:pPr>
      <w:r w:rsidRPr="004D0FCB">
        <w:rPr>
          <w:color w:val="000000"/>
          <w:sz w:val="24"/>
          <w:szCs w:val="24"/>
          <w:lang w:val="uk-UA" w:eastAsia="uk-UA" w:bidi="uk-UA"/>
        </w:rPr>
        <w:t>0 з діловодства;</w:t>
      </w:r>
    </w:p>
    <w:p w:rsidR="00FB7277" w:rsidRPr="004D0FCB" w:rsidRDefault="00F3450D" w:rsidP="004D0FCB">
      <w:pPr>
        <w:pStyle w:val="20"/>
        <w:shd w:val="clear" w:color="auto" w:fill="auto"/>
        <w:spacing w:after="0" w:line="240" w:lineRule="auto"/>
        <w:ind w:firstLine="240"/>
        <w:jc w:val="both"/>
        <w:rPr>
          <w:color w:val="000000"/>
          <w:sz w:val="24"/>
          <w:szCs w:val="24"/>
          <w:lang w:val="uk-UA" w:eastAsia="uk-UA" w:bidi="uk-UA"/>
        </w:rPr>
      </w:pPr>
      <w:r w:rsidRPr="004D0FCB">
        <w:rPr>
          <w:color w:val="000000"/>
          <w:sz w:val="24"/>
          <w:szCs w:val="24"/>
          <w:lang w:val="uk-UA" w:eastAsia="uk-UA" w:bidi="uk-UA"/>
        </w:rPr>
        <w:t>0 з приватизації державного і громадського майна;</w:t>
      </w:r>
    </w:p>
    <w:p w:rsidR="00F3450D" w:rsidRPr="00F3450D" w:rsidRDefault="00F3450D" w:rsidP="004D0FCB">
      <w:pPr>
        <w:pStyle w:val="20"/>
        <w:shd w:val="clear" w:color="auto" w:fill="auto"/>
        <w:spacing w:after="0" w:line="240" w:lineRule="auto"/>
        <w:ind w:firstLine="240"/>
        <w:jc w:val="both"/>
        <w:rPr>
          <w:sz w:val="24"/>
          <w:szCs w:val="24"/>
          <w:lang w:eastAsia="ru-RU"/>
        </w:rPr>
      </w:pPr>
      <w:r w:rsidRPr="00F3450D">
        <w:rPr>
          <w:bCs/>
          <w:sz w:val="24"/>
          <w:szCs w:val="24"/>
        </w:rPr>
        <w:t xml:space="preserve">О у земельних, екологічних, фінансово-бюджетних, податкових і деяких інших </w:t>
      </w:r>
      <w:r w:rsidRPr="00F3450D">
        <w:rPr>
          <w:sz w:val="24"/>
          <w:szCs w:val="24"/>
        </w:rPr>
        <w:t>справах.</w:t>
      </w:r>
    </w:p>
    <w:p w:rsidR="00FB7277" w:rsidRPr="004D0FCB" w:rsidRDefault="00FB7277" w:rsidP="004D0FCB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</w:p>
    <w:sectPr w:rsidR="00FB7277" w:rsidRPr="004D0FCB" w:rsidSect="004D0FCB">
      <w:headerReference w:type="even" r:id="rId6"/>
      <w:pgSz w:w="8400" w:h="1190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29" w:rsidRDefault="00F3450D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4999990</wp:posOffset>
              </wp:positionH>
              <wp:positionV relativeFrom="page">
                <wp:posOffset>127000</wp:posOffset>
              </wp:positionV>
              <wp:extent cx="55880" cy="118745"/>
              <wp:effectExtent l="0" t="3175" r="1905" b="190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829" w:rsidRDefault="004D0FC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B232E">
                            <w:rPr>
                              <w:rStyle w:val="a4"/>
                              <w:rFonts w:eastAsia="Microsoft Sans Serif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="Microsoft Sans Seri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393.7pt;margin-top:10pt;width:4.4pt;height:9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" filled="f" stroked="f">
              <v:textbox style="mso-fit-shape-to-text:t" inset="0,0,0,0">
                <w:txbxContent>
                  <w:p w:rsidR="00CC6829" w:rsidRDefault="004D0FC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B232E">
                      <w:rPr>
                        <w:rStyle w:val="a4"/>
                        <w:rFonts w:eastAsia="Microsoft Sans Serif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="Microsoft Sans Seri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52A862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2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 w15:restartNumberingAfterBreak="0">
    <w:nsid w:val="2F5E78A0"/>
    <w:multiLevelType w:val="multilevel"/>
    <w:tmpl w:val="ECFE7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F6452C"/>
    <w:multiLevelType w:val="multilevel"/>
    <w:tmpl w:val="C0C6F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8D"/>
    <w:rsid w:val="003B2D7F"/>
    <w:rsid w:val="004D0FCB"/>
    <w:rsid w:val="00BD48D6"/>
    <w:rsid w:val="00E74343"/>
    <w:rsid w:val="00F3450D"/>
    <w:rsid w:val="00FA7B8D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632C3"/>
  <w15:chartTrackingRefBased/>
  <w15:docId w15:val="{6F0A4D2A-77F5-4E81-A530-7D4BD229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450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34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sid w:val="00F345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0ptExact">
    <w:name w:val="Основной текст (4) + Полужирный;Не курсив;Интервал 0 pt Exact"/>
    <w:basedOn w:val="4"/>
    <w:rsid w:val="00F3450D"/>
    <w:rPr>
      <w:rFonts w:ascii="Times New Roman" w:eastAsia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4Exact0">
    <w:name w:val="Основной текст (4) + Не курсив Exact"/>
    <w:basedOn w:val="4"/>
    <w:rsid w:val="00F3450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345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F3450D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345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Курсив"/>
    <w:basedOn w:val="3"/>
    <w:rsid w:val="00F345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F3450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F345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6pt">
    <w:name w:val="Основной текст (2) + 6 pt"/>
    <w:basedOn w:val="2"/>
    <w:rsid w:val="00F3450D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uk-UA" w:eastAsia="uk-UA" w:bidi="uk-UA"/>
    </w:rPr>
  </w:style>
  <w:style w:type="character" w:customStyle="1" w:styleId="22">
    <w:name w:val="Основной текст (2) + Малые прописные"/>
    <w:basedOn w:val="2"/>
    <w:rsid w:val="00F3450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a3">
    <w:name w:val="Колонтитул_"/>
    <w:basedOn w:val="a0"/>
    <w:rsid w:val="00F3450D"/>
    <w:rPr>
      <w:rFonts w:ascii="Consolas" w:eastAsia="Consolas" w:hAnsi="Consolas" w:cs="Consola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"/>
    <w:basedOn w:val="a3"/>
    <w:rsid w:val="00F3450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3">
    <w:name w:val="Основной текст (2) + Курсив"/>
    <w:basedOn w:val="2"/>
    <w:rsid w:val="00F345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0pt">
    <w:name w:val="Основной текст (2) + Полужирный;Интервал 0 pt"/>
    <w:basedOn w:val="2"/>
    <w:rsid w:val="00F3450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41">
    <w:name w:val="Основной текст (4) + Не курсив"/>
    <w:basedOn w:val="4"/>
    <w:rsid w:val="00F3450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40pt">
    <w:name w:val="Основной текст (4) + Полужирный;Не курсив;Интервал 0 pt"/>
    <w:basedOn w:val="4"/>
    <w:rsid w:val="00F3450D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F3450D"/>
    <w:rPr>
      <w:rFonts w:ascii="Impact" w:eastAsia="Impact" w:hAnsi="Impact" w:cs="Impact"/>
      <w:sz w:val="16"/>
      <w:szCs w:val="16"/>
      <w:shd w:val="clear" w:color="auto" w:fill="FFFFFF"/>
    </w:rPr>
  </w:style>
  <w:style w:type="character" w:customStyle="1" w:styleId="24">
    <w:name w:val="Основной текст (2) + Полужирный"/>
    <w:basedOn w:val="2"/>
    <w:rsid w:val="00F345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3450D"/>
    <w:pPr>
      <w:shd w:val="clear" w:color="auto" w:fill="FFFFFF"/>
      <w:spacing w:after="360" w:line="406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F3450D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F3450D"/>
    <w:pPr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 w:bidi="ar-SA"/>
    </w:rPr>
  </w:style>
  <w:style w:type="paragraph" w:customStyle="1" w:styleId="50">
    <w:name w:val="Основной текст (5)"/>
    <w:basedOn w:val="a"/>
    <w:link w:val="5"/>
    <w:rsid w:val="00F3450D"/>
    <w:pPr>
      <w:shd w:val="clear" w:color="auto" w:fill="FFFFFF"/>
      <w:spacing w:after="180" w:line="0" w:lineRule="atLeast"/>
      <w:jc w:val="right"/>
    </w:pPr>
    <w:rPr>
      <w:rFonts w:ascii="Impact" w:eastAsia="Impact" w:hAnsi="Impact" w:cs="Impact"/>
      <w:color w:val="auto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F3450D"/>
    <w:pPr>
      <w:ind w:left="720"/>
      <w:contextualSpacing/>
    </w:pPr>
  </w:style>
  <w:style w:type="paragraph" w:styleId="a6">
    <w:name w:val="No Spacing"/>
    <w:uiPriority w:val="1"/>
    <w:qFormat/>
    <w:rsid w:val="00FB72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347F-36E3-4646-A01F-C7D4CA91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2020-03-30T10:55:00Z</dcterms:created>
  <dcterms:modified xsi:type="dcterms:W3CDTF">2020-03-30T11:51:00Z</dcterms:modified>
</cp:coreProperties>
</file>