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r w:rsidRPr="00AF49D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 xml:space="preserve">Конвенція МОП N 154 </w:t>
      </w:r>
      <w:r w:rsidRPr="00AF49D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br/>
        <w:t xml:space="preserve">          про сприяння колективним переговорам 1981 року </w:t>
      </w:r>
      <w:r w:rsidRPr="00AF49D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br/>
        <w:t xml:space="preserve">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0" w:name="o2"/>
      <w:bookmarkEnd w:id="0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( Рекомендацію до Конвенції додатково див. в документі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       ( </w:t>
      </w:r>
      <w:hyperlink r:id="rId4" w:tgtFrame="_blank" w:history="1">
        <w:r w:rsidRPr="00AF49D4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993_274</w:t>
        </w:r>
      </w:hyperlink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 від 19.06.1981 )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" w:name="o3"/>
      <w:bookmarkEnd w:id="1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Статус Конвенції див. ( </w:t>
      </w:r>
      <w:hyperlink r:id="rId5" w:tgtFrame="_blank" w:history="1">
        <w:r w:rsidRPr="00AF49D4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993_425</w:t>
        </w:r>
      </w:hyperlink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" w:name="o4"/>
      <w:bookmarkEnd w:id="2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( Конвенцію ратифіковано Постановою ВР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  N 3932-XII ( </w:t>
      </w:r>
      <w:hyperlink r:id="rId6" w:tgtFrame="_blank" w:history="1">
        <w:r w:rsidRPr="00AF49D4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3932-12</w:t>
        </w:r>
      </w:hyperlink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 від 04.02.94 )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" w:name="o5"/>
      <w:bookmarkEnd w:id="3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Дата підписання:        19.06.81 р.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" w:name="o6"/>
      <w:bookmarkEnd w:id="4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Дата ратифікації:       04.02.94 р.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" w:name="o7"/>
      <w:bookmarkEnd w:id="5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Дата набрання чинності: 16.05.95 р.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" w:name="o8"/>
      <w:bookmarkEnd w:id="6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Генеральна конференція   Міжнародної    Організації    праці,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скликана в  Женеві Адміністративною радою Міжнародного бюро праці,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що зібралася 3 червня 1981 року на шістдесят сьому сесію,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7" w:name="o9"/>
      <w:bookmarkEnd w:id="7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підтверджуючи положення Філадельфійської декларації,  в якому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визнається  "урочисте  зобов'язання  Міжнародної Організації праці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сприяти ухваленню країнами світу програм,  котрі мають за  мету...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дійсне визнання права на колективні переговори", і  зазначаючи, що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цей принцип "цілком застосовний до всіх народів",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8" w:name="o10"/>
      <w:bookmarkEnd w:id="8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беручи до уваги основоположне значення міжнародних  норм,  що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містяться в  Конвенції  1948  року про свободу асоціацій та захист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права на організацію ( </w:t>
      </w:r>
      <w:hyperlink r:id="rId7" w:tgtFrame="_blank" w:history="1">
        <w:r w:rsidRPr="00AF49D4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993_125</w:t>
        </w:r>
      </w:hyperlink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),  в Конвенції 1949 року про право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 організацію  та ведення колективних переговорів ( </w:t>
      </w:r>
      <w:r w:rsidRPr="00AF49D4">
        <w:rPr>
          <w:rFonts w:ascii="Consolas" w:eastAsia="Times New Roman" w:hAnsi="Consolas" w:cs="Courier New"/>
          <w:color w:val="000000"/>
          <w:sz w:val="24"/>
          <w:szCs w:val="24"/>
          <w:lang/>
        </w:rPr>
        <w:t>993_004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),  у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Рекомендації 1951 року щодо колективних договорів ( </w:t>
      </w:r>
      <w:hyperlink r:id="rId8" w:tgtFrame="_blank" w:history="1">
        <w:r w:rsidRPr="00AF49D4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993_231</w:t>
        </w:r>
      </w:hyperlink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),  у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Рекомендації 1951  року  про  добровільне  примирення  й  арбітраж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( </w:t>
      </w:r>
      <w:hyperlink r:id="rId9" w:tgtFrame="_blank" w:history="1">
        <w:r w:rsidRPr="00AF49D4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993_232</w:t>
        </w:r>
      </w:hyperlink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),  у Конвенції 1978 року ( </w:t>
      </w:r>
      <w:hyperlink r:id="rId10" w:tgtFrame="_blank" w:history="1">
        <w:r w:rsidRPr="00AF49D4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993_187</w:t>
        </w:r>
      </w:hyperlink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)  та  Рекомендації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1978 року  про  трудові  відносини на державній службі,  а також у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Конвенції 1978 року і Рекомендації  1978  року  про  адміністрацію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праці,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9" w:name="o11"/>
      <w:bookmarkEnd w:id="9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вважаючи за  бажане  докласти  більших  зусиль для здійснення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цілей, викладених у цих нормах,  і особливо основних засад,  котрі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містяться  в статті 4 Конвенції 1959 року про право на організацію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та на ведення колективних переговорів ( </w:t>
      </w:r>
      <w:r w:rsidRPr="00AF49D4">
        <w:rPr>
          <w:rFonts w:ascii="Consolas" w:eastAsia="Times New Roman" w:hAnsi="Consolas" w:cs="Courier New"/>
          <w:color w:val="000000"/>
          <w:sz w:val="24"/>
          <w:szCs w:val="24"/>
          <w:lang/>
        </w:rPr>
        <w:t>993_004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 і в параграфі  1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Рекомендації 1951 року щодо колективних договорів ( </w:t>
      </w:r>
      <w:hyperlink r:id="rId11" w:tgtFrame="_blank" w:history="1">
        <w:r w:rsidRPr="00AF49D4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993_231</w:t>
        </w:r>
      </w:hyperlink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),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0" w:name="o12"/>
      <w:bookmarkEnd w:id="10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вважаючи таким   чином   за   потрібне   доповнити  ці  норми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відповідними заходами,  що грунтуються на  вищезгаданих  нормах  і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спрямовані на   сприяння   вільним   і   добровільним  колективним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переговорам,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1" w:name="o13"/>
      <w:bookmarkEnd w:id="11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     ухваливши прийняти   ряд   пропозицій    стосовно    сприяння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колективним переговорам, що є пунктом 4 порядку денного сесії,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2" w:name="o14"/>
      <w:bookmarkEnd w:id="12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вирішивши надати цим пропозиціям форми міжнародної конвенції,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3" w:name="o15"/>
      <w:bookmarkEnd w:id="13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ухвалює 19  червня  1981 року нижченаведену Конвенцію,  котра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називатиметься Конвенцією 1981 року про колективні переговори.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4" w:name="o16"/>
      <w:bookmarkEnd w:id="14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AF49D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Розділ I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Сфера застосування та визначення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5" w:name="o18"/>
      <w:bookmarkEnd w:id="15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AF49D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6" w:name="o19"/>
      <w:bookmarkEnd w:id="16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Ця  Конвенція  поширюється  на  всі   галузі   економічної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діяльності.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7" w:name="o20"/>
      <w:bookmarkEnd w:id="17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Національне  законодавство,  правила  або  практика можуть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визначати, якою  мірою  гарантії,  передбачені  цією   Конвенцією,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поширюються на збройні сили та поліцію.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8" w:name="o21"/>
      <w:bookmarkEnd w:id="18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Щодо державної служби,  національне законодавство, правила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або національна практика  можуть  встановлювати  особливі  способи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застосування цієї Конвенції.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9" w:name="o22"/>
      <w:bookmarkEnd w:id="19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AF49D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2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0" w:name="o23"/>
      <w:bookmarkEnd w:id="20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Відповідно до   мети   цієї   Конвенції   термін  "колективні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переговори" означає   всі   переговори,   що    проводяться    між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роботодавцем, групою   роботодавців   або   однією   чи   кількома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організаціями роботодавців з одного боку,  та однією  чи  кількома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організаціями працівників - з другого, з метою: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1" w:name="o24"/>
      <w:bookmarkEnd w:id="21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визначення умов праці й зайнятості; та (або)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2" w:name="o25"/>
      <w:bookmarkEnd w:id="22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регулювання  відносин  між  роботодавцями  й працівниками;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та/або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3" w:name="o26"/>
      <w:bookmarkEnd w:id="23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c) регулювання   відносин   між   роботодавцями   чи   їхніми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організаціями та організацією чи організаціями працівників.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4" w:name="o27"/>
      <w:bookmarkEnd w:id="24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AF49D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3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5" w:name="o28"/>
      <w:bookmarkEnd w:id="25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Якщо   національне   законодавство   або  практика  визнає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існування представників працівників, як це визначено в параграфі 3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b)   Конвенції   1971   року  про  представників  працівників,  то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національне законодавство  або  практика  можуть  визначати,  якою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мірою   відповідно  до  мети  цієї  Конвенції  термін  "колективні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переговори" поширюється також на переговори з цими представниками.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6" w:name="o29"/>
      <w:bookmarkEnd w:id="26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     2. Коли  відповідно  до  параграфа  1  цієї   статті   термін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"колективні переговори"   поширюється   також   на   переговори  з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представниками працівників,  зазначеними  в  цьому   пункті,   при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потребі має  бути вжито відповідних заходів для забезпечення того,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щоб присутність  цих  представників  не  могла  ослабити   позицій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зацікавлених організацій трудівників.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7" w:name="o30"/>
      <w:bookmarkEnd w:id="27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AF49D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Розділ II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Методи застосування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8" w:name="o32"/>
      <w:bookmarkEnd w:id="28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AF49D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4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9" w:name="o33"/>
      <w:bookmarkEnd w:id="29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Застосування положень    цієї   Конвенції,   якщо   воно   не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здійснюється колективними договорами,  арбітражними рішеннями чи в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будь-який інший  спосіб,  котрий відповідає національній практиці,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забезпечується національним законодавством або правилами.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0" w:name="o34"/>
      <w:bookmarkEnd w:id="30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AF49D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Розділ III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Сприяння колективним переговорам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1" w:name="o36"/>
      <w:bookmarkEnd w:id="31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AF49D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5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2" w:name="o37"/>
      <w:bookmarkEnd w:id="32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Для сприяння  колективним  переговорам  вживають  заходів,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котрі відповідають національним умовам.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3" w:name="o38"/>
      <w:bookmarkEnd w:id="33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Заходи, передбачені в параграфі 1 цієї  статті, спрямовані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 те, щоб: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4" w:name="o39"/>
      <w:bookmarkEnd w:id="34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колективні переговори були можливі для всіх роботодавців і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всіх категорій працівників у галузях діяльності, передбачених цією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Конвенцією;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5" w:name="o40"/>
      <w:bookmarkEnd w:id="35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колективні  переговори  поступово  поширювалися   на   всі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питання, зазначені в пунктах a), d) і c) статті 2 цієї Конвенції;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6" w:name="o41"/>
      <w:bookmarkEnd w:id="36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c) заохочувалося розроблення правил процедури, узгоджених між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організаціями роботодавців і працівників;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7" w:name="o42"/>
      <w:bookmarkEnd w:id="37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d) проведенню   колективних   переговорів   не   перешкоджала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відсутність правил,  що їх регулюють,  чи неповна або невідповідна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суть цих правил;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8" w:name="o43"/>
      <w:bookmarkEnd w:id="38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e) органи  й  процедури   розв'язання   трудових   конфліктів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створювалися таким чином, щоб сприяти колективним переговорам.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9" w:name="o44"/>
      <w:bookmarkEnd w:id="39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AF49D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6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0" w:name="o45"/>
      <w:bookmarkEnd w:id="40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Положення цієї   Конвенції  не  перешкоджають  функціонуванню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систем трудових відносин,  де колективні  переговори  проходять  у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рамках примирного та/або арбітражного механізму чи органів, в яких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сторони, що  ведуть  колективні  переговори,  добровільно   беруть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участь.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1" w:name="o46"/>
      <w:bookmarkEnd w:id="41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AF49D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7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2" w:name="o47"/>
      <w:bookmarkEnd w:id="42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Заходи, вживані  державними  органами для сприяння розвиткові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колективних переговорів та його заохочення є предметом  попередніх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консультацій і,  коли це можливо,  угод між державними органами та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організаціями роботодавців і працівників.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3" w:name="o48"/>
      <w:bookmarkEnd w:id="43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AF49D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8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4" w:name="o49"/>
      <w:bookmarkEnd w:id="44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Заходи, вживані з  метою  сприяння  колективним  переговорам,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мають розроблятися   чи   застосовуватися   таким  чином,  щоб  не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обмежувати свободи колективних переговорів.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5" w:name="o50"/>
      <w:bookmarkEnd w:id="45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AF49D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Розділ IV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Прикінцеві положення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6" w:name="o52"/>
      <w:bookmarkEnd w:id="46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AF49D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9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7" w:name="o53"/>
      <w:bookmarkEnd w:id="47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Ця Конвенція  не  переглядає   якусь   чинну   конвенцію   чи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рекомендацію.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8" w:name="o54"/>
      <w:bookmarkEnd w:id="48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AF49D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10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9" w:name="o55"/>
      <w:bookmarkEnd w:id="49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Офіційні    документи    про   ратифікацію   цієї   Конвенції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надсилаються  для реєстрації Генеральному директорові Міжнародного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бюро праці.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0" w:name="o56"/>
      <w:bookmarkEnd w:id="50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AF49D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11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1" w:name="o57"/>
      <w:bookmarkEnd w:id="51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Ця Конвенція  має  обов'язкову  чинність  тільки  для  тих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членів  Міжнародної  організації праці,  документи про ратифікацію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яких зареєстрував Генеральний директор.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2" w:name="o58"/>
      <w:bookmarkEnd w:id="52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Вона  набуде  чинності  через  дванадцять  місяців   після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реєстрації  Генеральним директором документів про ратифікацію двох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членів Організації.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3" w:name="o59"/>
      <w:bookmarkEnd w:id="53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Надалі ця Конвенція  набуде  чинності  для  кожного  члена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Організації  через  дванадцять  місяців від   дати реєстрації його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документа про ратифікацію.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4" w:name="o60"/>
      <w:bookmarkEnd w:id="54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AF49D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12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5" w:name="o61"/>
      <w:bookmarkEnd w:id="55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Кожний член Організації,  який ратифікував  цю  Конвенцію,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після закінчення  десяти  років від дня,  коли вона вперше набрала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чинності, може денонсувати її  актом  про  денонсацію,  надісланим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Генеральному директорові Міжнародного бюро праці та зареєстрованим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ним. Денонсація набере чинності через рік після її реєстрації.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6" w:name="o62"/>
      <w:bookmarkEnd w:id="56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Для  кожного  члена  Організації,  який   ратифікував   цю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Конвенцію протягом  року  після закінчення згаданих у попередньому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параграфі десяти років не скористався передбаченим  у  цій  статті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правом на  денонсацію,  Конвенція  лишатиметься чинною на наступні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десять років,  і надалі він зможе денонсувати її після  закінчення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кожного десятиріччя порядком, передбаченим у цій статті.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7" w:name="o63"/>
      <w:bookmarkEnd w:id="57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AF49D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13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8" w:name="o64"/>
      <w:bookmarkEnd w:id="58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Генеральний директор Міжнародного бюро праці оповіщає всіх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членів Міжнародної   Організації   праці   про   реєстрацію   всіх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документів про  ратифікацію  та  актів про денонсацію,  надісланих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йому членами Організації.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9" w:name="o65"/>
      <w:bookmarkEnd w:id="59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Оповіщаючи членів Організації  про  реєстрацію  отриманого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ним   другого  документа  про  ратифікацію,  Генеральний  директор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звертає їхню увагу на дату настання чинності цієї Конвенції.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0" w:name="o66"/>
      <w:bookmarkEnd w:id="60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AF49D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14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1" w:name="o67"/>
      <w:bookmarkEnd w:id="61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Генеральний директор   Міжнародного   бюро   праці   надсилає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Генеральному   секретареві   Організації   Об'єднаних   Націй  для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реєстрації відповідно до статті 102 Статуту Організації Об'єднаних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Націй (  </w:t>
      </w:r>
      <w:r w:rsidRPr="00AF49D4">
        <w:rPr>
          <w:rFonts w:ascii="Consolas" w:eastAsia="Times New Roman" w:hAnsi="Consolas" w:cs="Courier New"/>
          <w:color w:val="000000"/>
          <w:sz w:val="24"/>
          <w:szCs w:val="24"/>
          <w:lang/>
        </w:rPr>
        <w:t>995_010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)  вичерпні  відомості  про  всі  документи  про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ратифікацію й акти про денонсацію, зареєстровані ним відповідно до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положень попередніх статей.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2" w:name="o68"/>
      <w:bookmarkEnd w:id="62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AF49D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15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3" w:name="o69"/>
      <w:bookmarkEnd w:id="63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У випадках, коли Адміністративна рада Міжнародного бюро праці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вважає це за потрібне, вона подає Генеральній конференції доповідь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 застосування  цієї Конвенції та розглядає доцільність внесення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 порядку денного Конференції питання про її повний або частковий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перегляд.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4" w:name="o70"/>
      <w:bookmarkEnd w:id="64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AF49D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16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5" w:name="o71"/>
      <w:bookmarkEnd w:id="65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Якщо Конференція ухвалить нову конвенцію,  що повністю або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частково переглядає цю Конвенцію,  і,  якщо в новій  конвенції  не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передбачено інше, то: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6" w:name="o72"/>
      <w:bookmarkEnd w:id="66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ратифікація    будь-яким    членом    Організації   нової,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переглянутої,  конвенції  спричиняє  автоматично,  незалежно   від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положень  статті  12,  негайну  денонсацію цієї Конвенції за умови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настання чинності нової, переглянутої, конвенції;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7" w:name="o73"/>
      <w:bookmarkEnd w:id="67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від дня настання чинності нової,  переглянутої,  конвенції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ця Конвенція закрита для ратифікації членами Організації.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8" w:name="o74"/>
      <w:bookmarkEnd w:id="68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Ця Конвенція лишається,  в кожному разі,  чинною за формою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та змістом для тих членів Організації, які ратифікували її, але не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ратифікували переглянутої конвенції.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9" w:name="o75"/>
      <w:bookmarkEnd w:id="69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AF49D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17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AF49D4" w:rsidRPr="00AF49D4" w:rsidRDefault="00AF49D4" w:rsidP="00AF4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70" w:name="o76"/>
      <w:bookmarkEnd w:id="70"/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Англійський і   французький   тексти   цієї  Конвенції  мають </w:t>
      </w:r>
      <w:r w:rsidRPr="00AF49D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однакову силу. </w:t>
      </w:r>
    </w:p>
    <w:p w:rsidR="008B50BF" w:rsidRDefault="00AF49D4">
      <w:bookmarkStart w:id="71" w:name="_GoBack"/>
      <w:bookmarkEnd w:id="71"/>
    </w:p>
    <w:sectPr w:rsidR="008B5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9D4"/>
    <w:rsid w:val="0047003E"/>
    <w:rsid w:val="00AF49D4"/>
    <w:rsid w:val="00BF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A71F6-6EE4-4896-9A0B-80A26A40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F49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F49D4"/>
    <w:rPr>
      <w:rFonts w:ascii="Courier New" w:eastAsia="Times New Roman" w:hAnsi="Courier New" w:cs="Courier New"/>
      <w:sz w:val="20"/>
      <w:szCs w:val="20"/>
      <w:lang/>
    </w:rPr>
  </w:style>
  <w:style w:type="character" w:styleId="a3">
    <w:name w:val="Emphasis"/>
    <w:basedOn w:val="a0"/>
    <w:uiPriority w:val="20"/>
    <w:qFormat/>
    <w:rsid w:val="00AF49D4"/>
    <w:rPr>
      <w:i/>
      <w:iCs/>
    </w:rPr>
  </w:style>
  <w:style w:type="character" w:styleId="a4">
    <w:name w:val="Hyperlink"/>
    <w:basedOn w:val="a0"/>
    <w:uiPriority w:val="99"/>
    <w:semiHidden/>
    <w:unhideWhenUsed/>
    <w:rsid w:val="00AF49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3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993_23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993_12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3932-12" TargetMode="External"/><Relationship Id="rId11" Type="http://schemas.openxmlformats.org/officeDocument/2006/relationships/hyperlink" Target="https://zakon.rada.gov.ua/laws/show/993_231" TargetMode="External"/><Relationship Id="rId5" Type="http://schemas.openxmlformats.org/officeDocument/2006/relationships/hyperlink" Target="https://zakon.rada.gov.ua/laws/show/993_425" TargetMode="External"/><Relationship Id="rId10" Type="http://schemas.openxmlformats.org/officeDocument/2006/relationships/hyperlink" Target="https://zakon.rada.gov.ua/laws/show/993_187" TargetMode="External"/><Relationship Id="rId4" Type="http://schemas.openxmlformats.org/officeDocument/2006/relationships/hyperlink" Target="https://zakon.rada.gov.ua/laws/show/993_274" TargetMode="External"/><Relationship Id="rId9" Type="http://schemas.openxmlformats.org/officeDocument/2006/relationships/hyperlink" Target="https://zakon.rada.gov.ua/laws/show/993_2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1655</Words>
  <Characters>9439</Characters>
  <Application>Microsoft Office Word</Application>
  <DocSecurity>0</DocSecurity>
  <Lines>78</Lines>
  <Paragraphs>22</Paragraphs>
  <ScaleCrop>false</ScaleCrop>
  <Company/>
  <LinksUpToDate>false</LinksUpToDate>
  <CharactersWithSpaces>11072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2022-03-28T12:35:00Z</dcterms:created>
  <dcterms:modified xsi:type="dcterms:W3CDTF">2022-03-28T12:35:00Z</dcterms:modified>
</cp:coreProperties>
</file>